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2A8A" w:rsidRPr="00C472B8" w:rsidRDefault="00AA66F3" w:rsidP="005F0D52">
      <w:pPr>
        <w:spacing w:after="0"/>
        <w:ind w:right="288"/>
        <w:rPr>
          <w:rFonts w:ascii="Arial" w:hAnsi="Arial" w:cs="Arial"/>
          <w:lang w:val="de-DE"/>
        </w:rPr>
      </w:pPr>
      <w:bookmarkStart w:id="0" w:name="_GoBack"/>
      <w:bookmarkEnd w:id="0"/>
      <w:r w:rsidRPr="00C472B8">
        <w:rPr>
          <w:rFonts w:ascii="Arial" w:hAnsi="Arial" w:cs="Arial"/>
          <w:b/>
          <w:lang w:val="de-DE"/>
        </w:rPr>
        <w:t>Kontakt</w:t>
      </w:r>
      <w:r w:rsidR="004D3EE3">
        <w:rPr>
          <w:rFonts w:ascii="Arial" w:hAnsi="Arial" w:cs="Arial"/>
          <w:b/>
          <w:lang w:val="de-DE"/>
        </w:rPr>
        <w:t xml:space="preserve"> für Redaktionen</w:t>
      </w:r>
      <w:r w:rsidR="00C96ECB" w:rsidRPr="00C472B8">
        <w:rPr>
          <w:rFonts w:ascii="Arial" w:hAnsi="Arial" w:cs="Arial"/>
          <w:lang w:val="de-DE"/>
        </w:rPr>
        <w:t>:</w:t>
      </w:r>
    </w:p>
    <w:p w:rsidR="00C96ECB" w:rsidRPr="00A46B78" w:rsidRDefault="00AA66F3" w:rsidP="005F0D52">
      <w:pPr>
        <w:pStyle w:val="HONSAdressenblock"/>
        <w:tabs>
          <w:tab w:val="clear" w:pos="6120"/>
          <w:tab w:val="left" w:pos="5220"/>
        </w:tabs>
        <w:ind w:left="1440" w:right="288" w:hanging="1440"/>
        <w:rPr>
          <w:rFonts w:ascii="Arial" w:hAnsi="Arial" w:cs="Arial"/>
          <w:sz w:val="22"/>
        </w:rPr>
      </w:pPr>
      <w:r w:rsidRPr="00C472B8">
        <w:rPr>
          <w:rFonts w:ascii="Arial" w:hAnsi="Arial" w:cs="Arial"/>
          <w:sz w:val="22"/>
          <w:lang w:val="de-DE"/>
        </w:rPr>
        <w:t xml:space="preserve">Dipl.-Ing. </w:t>
      </w:r>
      <w:r w:rsidRPr="00A46B78">
        <w:rPr>
          <w:rFonts w:ascii="Arial" w:hAnsi="Arial" w:cs="Arial"/>
          <w:sz w:val="22"/>
        </w:rPr>
        <w:t>Joachim Meisehen</w:t>
      </w:r>
      <w:r w:rsidR="00C96ECB" w:rsidRPr="00A46B78">
        <w:rPr>
          <w:rFonts w:ascii="Arial" w:hAnsi="Arial" w:cs="Arial"/>
          <w:sz w:val="22"/>
        </w:rPr>
        <w:tab/>
      </w:r>
      <w:r w:rsidRPr="00A46B78">
        <w:rPr>
          <w:rFonts w:ascii="Arial" w:hAnsi="Arial" w:cs="Arial"/>
          <w:sz w:val="22"/>
        </w:rPr>
        <w:tab/>
      </w:r>
      <w:r w:rsidRPr="00A46B78">
        <w:rPr>
          <w:rFonts w:ascii="Arial" w:hAnsi="Arial" w:cs="Arial"/>
          <w:sz w:val="22"/>
        </w:rPr>
        <w:tab/>
      </w:r>
    </w:p>
    <w:p w:rsidR="00C96ECB" w:rsidRPr="00087369" w:rsidRDefault="00AA66F3" w:rsidP="005F0D52">
      <w:pPr>
        <w:pStyle w:val="HONSAdressenblock"/>
        <w:tabs>
          <w:tab w:val="clear" w:pos="6120"/>
          <w:tab w:val="left" w:pos="5220"/>
        </w:tabs>
        <w:ind w:right="288"/>
        <w:rPr>
          <w:rFonts w:ascii="Arial" w:hAnsi="Arial" w:cs="Arial"/>
          <w:sz w:val="22"/>
        </w:rPr>
      </w:pPr>
      <w:r>
        <w:rPr>
          <w:rFonts w:ascii="Arial" w:hAnsi="Arial" w:cs="Arial"/>
          <w:sz w:val="22"/>
        </w:rPr>
        <w:t xml:space="preserve">Novar GmbH a </w:t>
      </w:r>
      <w:r w:rsidR="00C96ECB">
        <w:rPr>
          <w:rFonts w:ascii="Arial" w:hAnsi="Arial" w:cs="Arial"/>
          <w:sz w:val="22"/>
        </w:rPr>
        <w:t xml:space="preserve">Honeywell </w:t>
      </w:r>
      <w:r>
        <w:rPr>
          <w:rFonts w:ascii="Arial" w:hAnsi="Arial" w:cs="Arial"/>
          <w:sz w:val="22"/>
        </w:rPr>
        <w:t>Compan</w:t>
      </w:r>
      <w:r w:rsidR="00D652DD">
        <w:rPr>
          <w:rFonts w:ascii="Arial" w:hAnsi="Arial" w:cs="Arial"/>
          <w:sz w:val="22"/>
        </w:rPr>
        <w:t>y</w:t>
      </w:r>
    </w:p>
    <w:p w:rsidR="00AA66F3" w:rsidRPr="00A46B78" w:rsidRDefault="00AA66F3" w:rsidP="005F0D52">
      <w:pPr>
        <w:pStyle w:val="HONSAdressenblock"/>
        <w:tabs>
          <w:tab w:val="clear" w:pos="6120"/>
          <w:tab w:val="left" w:pos="5220"/>
        </w:tabs>
        <w:ind w:right="288"/>
        <w:rPr>
          <w:rFonts w:ascii="Arial" w:hAnsi="Arial" w:cs="Arial"/>
          <w:sz w:val="22"/>
          <w:lang w:val="de-DE"/>
        </w:rPr>
      </w:pPr>
      <w:r w:rsidRPr="00A46B78">
        <w:rPr>
          <w:rFonts w:ascii="Arial" w:hAnsi="Arial" w:cs="Arial"/>
          <w:sz w:val="22"/>
          <w:lang w:val="de-DE"/>
        </w:rPr>
        <w:t>Dieselstraße 2</w:t>
      </w:r>
    </w:p>
    <w:p w:rsidR="009D6F07" w:rsidRPr="00A46B78" w:rsidRDefault="00AA66F3" w:rsidP="005F0D52">
      <w:pPr>
        <w:pStyle w:val="HONSAdressenblock"/>
        <w:tabs>
          <w:tab w:val="clear" w:pos="6120"/>
          <w:tab w:val="left" w:pos="5220"/>
        </w:tabs>
        <w:ind w:right="288"/>
        <w:rPr>
          <w:rFonts w:ascii="Arial" w:hAnsi="Arial" w:cs="Arial"/>
          <w:sz w:val="22"/>
          <w:lang w:val="de-DE"/>
        </w:rPr>
      </w:pPr>
      <w:r w:rsidRPr="00A46B78">
        <w:rPr>
          <w:rFonts w:ascii="Arial" w:hAnsi="Arial" w:cs="Arial"/>
          <w:sz w:val="22"/>
          <w:lang w:val="de-DE"/>
        </w:rPr>
        <w:t>41469 Neuss</w:t>
      </w:r>
    </w:p>
    <w:p w:rsidR="00C96ECB" w:rsidRPr="00A46B78" w:rsidRDefault="009D6F07" w:rsidP="005F0D52">
      <w:pPr>
        <w:pStyle w:val="HONSAdressenblock"/>
        <w:tabs>
          <w:tab w:val="clear" w:pos="6120"/>
          <w:tab w:val="left" w:pos="5220"/>
        </w:tabs>
        <w:ind w:right="288"/>
        <w:rPr>
          <w:rFonts w:ascii="Arial" w:hAnsi="Arial" w:cs="Arial"/>
          <w:sz w:val="22"/>
          <w:lang w:val="de-DE"/>
        </w:rPr>
      </w:pPr>
      <w:r w:rsidRPr="00A46B78">
        <w:rPr>
          <w:rFonts w:ascii="Arial" w:hAnsi="Arial" w:cs="Arial"/>
          <w:sz w:val="22"/>
          <w:lang w:val="de-DE"/>
        </w:rPr>
        <w:t>Tel.: 02131 40615 226</w:t>
      </w:r>
      <w:r w:rsidR="00C96ECB" w:rsidRPr="00A46B78">
        <w:rPr>
          <w:rFonts w:ascii="Arial" w:hAnsi="Arial" w:cs="Arial"/>
          <w:sz w:val="22"/>
          <w:lang w:val="de-DE"/>
        </w:rPr>
        <w:tab/>
      </w:r>
      <w:r w:rsidR="00C96ECB" w:rsidRPr="00A46B78">
        <w:rPr>
          <w:rFonts w:ascii="Arial" w:hAnsi="Arial" w:cs="Arial"/>
          <w:sz w:val="22"/>
          <w:lang w:val="de-DE"/>
        </w:rPr>
        <w:tab/>
      </w:r>
      <w:r w:rsidR="00C96ECB" w:rsidRPr="00A46B78">
        <w:rPr>
          <w:rFonts w:ascii="Arial" w:hAnsi="Arial" w:cs="Arial"/>
          <w:sz w:val="22"/>
          <w:lang w:val="de-DE"/>
        </w:rPr>
        <w:tab/>
      </w:r>
    </w:p>
    <w:p w:rsidR="00C96ECB" w:rsidRPr="00A46B78" w:rsidRDefault="00711962" w:rsidP="005F0D52">
      <w:pPr>
        <w:pStyle w:val="HONSAdressenblock"/>
        <w:tabs>
          <w:tab w:val="clear" w:pos="6120"/>
          <w:tab w:val="left" w:pos="5220"/>
        </w:tabs>
        <w:ind w:right="288"/>
        <w:rPr>
          <w:rFonts w:ascii="Arial" w:hAnsi="Arial" w:cs="Arial"/>
          <w:sz w:val="22"/>
          <w:lang w:val="de-DE"/>
        </w:rPr>
      </w:pPr>
      <w:r>
        <w:fldChar w:fldCharType="begin"/>
      </w:r>
      <w:r w:rsidRPr="00315F57">
        <w:rPr>
          <w:lang w:val="de-DE"/>
        </w:rPr>
        <w:instrText xml:space="preserve"> HYPERLINK "mailto:joachim.meisehen@honeywell.com" </w:instrText>
      </w:r>
      <w:r>
        <w:fldChar w:fldCharType="separate"/>
      </w:r>
      <w:r w:rsidR="00AA66F3" w:rsidRPr="00A46B78">
        <w:rPr>
          <w:rStyle w:val="Hyperlink"/>
          <w:rFonts w:ascii="Arial" w:hAnsi="Arial" w:cs="Arial"/>
          <w:sz w:val="22"/>
          <w:lang w:val="de-DE"/>
        </w:rPr>
        <w:t>joachim.meisehen@honeywell.com</w:t>
      </w:r>
      <w:r>
        <w:rPr>
          <w:rStyle w:val="Hyperlink"/>
          <w:rFonts w:ascii="Arial" w:hAnsi="Arial" w:cs="Arial"/>
          <w:sz w:val="22"/>
          <w:lang w:val="de-DE"/>
        </w:rPr>
        <w:fldChar w:fldCharType="end"/>
      </w:r>
      <w:r w:rsidR="00C96ECB" w:rsidRPr="00A46B78">
        <w:rPr>
          <w:rFonts w:ascii="Arial" w:hAnsi="Arial" w:cs="Arial"/>
          <w:sz w:val="22"/>
          <w:lang w:val="de-DE"/>
        </w:rPr>
        <w:tab/>
      </w:r>
      <w:r w:rsidR="00C96ECB" w:rsidRPr="00A46B78">
        <w:rPr>
          <w:rFonts w:ascii="Arial" w:hAnsi="Arial" w:cs="Arial"/>
          <w:sz w:val="22"/>
          <w:lang w:val="de-DE"/>
        </w:rPr>
        <w:tab/>
      </w:r>
      <w:r w:rsidR="00C96ECB" w:rsidRPr="00A46B78">
        <w:rPr>
          <w:rFonts w:ascii="Arial" w:hAnsi="Arial" w:cs="Arial"/>
          <w:sz w:val="22"/>
          <w:lang w:val="de-DE"/>
        </w:rPr>
        <w:tab/>
      </w:r>
    </w:p>
    <w:p w:rsidR="00AD55E0" w:rsidRPr="00A46B78" w:rsidRDefault="00AD55E0" w:rsidP="005F0D52">
      <w:pPr>
        <w:pStyle w:val="HONSAdressenblock"/>
        <w:tabs>
          <w:tab w:val="clear" w:pos="6120"/>
          <w:tab w:val="left" w:pos="5220"/>
        </w:tabs>
        <w:ind w:right="288"/>
        <w:rPr>
          <w:rFonts w:ascii="Arial" w:hAnsi="Arial" w:cs="Arial"/>
          <w:sz w:val="22"/>
          <w:lang w:val="de-DE"/>
        </w:rPr>
      </w:pPr>
    </w:p>
    <w:p w:rsidR="003D4C92" w:rsidRPr="00A46B78" w:rsidRDefault="003D4C92" w:rsidP="005F0D52">
      <w:pPr>
        <w:pStyle w:val="HONSAdressenblock"/>
        <w:tabs>
          <w:tab w:val="clear" w:pos="6120"/>
          <w:tab w:val="left" w:pos="5220"/>
        </w:tabs>
        <w:ind w:right="288"/>
        <w:rPr>
          <w:rFonts w:ascii="Arial" w:hAnsi="Arial" w:cs="Arial"/>
          <w:sz w:val="22"/>
          <w:szCs w:val="22"/>
          <w:lang w:val="de-DE"/>
        </w:rPr>
      </w:pPr>
    </w:p>
    <w:p w:rsidR="00C96ECB" w:rsidRPr="00A46B78" w:rsidRDefault="00C96ECB" w:rsidP="005F0D52">
      <w:pPr>
        <w:pStyle w:val="HONSAdressenblock"/>
        <w:tabs>
          <w:tab w:val="clear" w:pos="6120"/>
          <w:tab w:val="left" w:pos="5220"/>
        </w:tabs>
        <w:ind w:right="288"/>
        <w:rPr>
          <w:rFonts w:ascii="Arial" w:hAnsi="Arial" w:cs="Arial"/>
          <w:lang w:val="de-DE"/>
        </w:rPr>
      </w:pPr>
      <w:r w:rsidRPr="00A46B78">
        <w:rPr>
          <w:rFonts w:ascii="Arial" w:hAnsi="Arial" w:cs="Arial"/>
          <w:lang w:val="de-DE"/>
        </w:rPr>
        <w:tab/>
      </w:r>
    </w:p>
    <w:p w:rsidR="009C6E88" w:rsidRDefault="009C6E88" w:rsidP="004D3EE3">
      <w:pPr>
        <w:ind w:right="742"/>
        <w:rPr>
          <w:rFonts w:ascii="Arial" w:hAnsi="Arial" w:cs="Arial"/>
          <w:b/>
          <w:sz w:val="28"/>
          <w:szCs w:val="28"/>
          <w:lang w:val="de-DE"/>
        </w:rPr>
      </w:pPr>
    </w:p>
    <w:p w:rsidR="004D3EE3" w:rsidRPr="00622A97" w:rsidRDefault="004E4E22" w:rsidP="004D3EE3">
      <w:pPr>
        <w:ind w:right="742"/>
        <w:rPr>
          <w:rFonts w:ascii="Arial" w:hAnsi="Arial" w:cs="Arial"/>
          <w:b/>
          <w:sz w:val="32"/>
          <w:szCs w:val="32"/>
          <w:lang w:val="de-DE"/>
        </w:rPr>
      </w:pPr>
      <w:r w:rsidRPr="00622A97">
        <w:rPr>
          <w:rFonts w:ascii="Arial" w:hAnsi="Arial" w:cs="Arial"/>
          <w:b/>
          <w:sz w:val="32"/>
          <w:szCs w:val="32"/>
          <w:lang w:val="de-DE"/>
        </w:rPr>
        <w:t>Neue</w:t>
      </w:r>
      <w:r w:rsidR="00C525E8" w:rsidRPr="00622A97">
        <w:rPr>
          <w:rFonts w:ascii="Arial" w:hAnsi="Arial" w:cs="Arial"/>
          <w:b/>
          <w:sz w:val="32"/>
          <w:szCs w:val="32"/>
          <w:lang w:val="de-DE"/>
        </w:rPr>
        <w:t xml:space="preserve"> Handfeuermelder MCP Ex (i)</w:t>
      </w:r>
      <w:r w:rsidR="008A36B1" w:rsidRPr="00622A97">
        <w:rPr>
          <w:rFonts w:ascii="Arial" w:hAnsi="Arial" w:cs="Arial"/>
          <w:b/>
          <w:sz w:val="32"/>
          <w:szCs w:val="32"/>
          <w:lang w:val="de-DE"/>
        </w:rPr>
        <w:t xml:space="preserve"> von Honeywell</w:t>
      </w:r>
    </w:p>
    <w:p w:rsidR="00096236" w:rsidRPr="00A8552E" w:rsidRDefault="004D3EE3" w:rsidP="008A36B1">
      <w:pPr>
        <w:tabs>
          <w:tab w:val="left" w:pos="426"/>
          <w:tab w:val="left" w:pos="993"/>
          <w:tab w:val="left" w:pos="4253"/>
        </w:tabs>
        <w:spacing w:line="360" w:lineRule="atLeast"/>
        <w:rPr>
          <w:rFonts w:ascii="Arial" w:eastAsia="Times" w:hAnsi="Arial" w:cs="Arial"/>
          <w:color w:val="FF0000"/>
          <w:sz w:val="24"/>
          <w:szCs w:val="24"/>
          <w:lang w:val="de-DE"/>
        </w:rPr>
      </w:pPr>
      <w:r w:rsidRPr="00A8552E">
        <w:rPr>
          <w:rFonts w:ascii="Arial" w:eastAsia="Times" w:hAnsi="Arial" w:cs="Arial"/>
          <w:sz w:val="24"/>
          <w:szCs w:val="24"/>
          <w:lang w:val="de-DE"/>
        </w:rPr>
        <w:t xml:space="preserve">Neuss, </w:t>
      </w:r>
      <w:r w:rsidR="00C525E8" w:rsidRPr="00A8552E">
        <w:rPr>
          <w:rFonts w:ascii="Arial" w:eastAsia="Times" w:hAnsi="Arial" w:cs="Arial"/>
          <w:sz w:val="24"/>
          <w:szCs w:val="24"/>
          <w:lang w:val="de-DE"/>
        </w:rPr>
        <w:t>2</w:t>
      </w:r>
      <w:r w:rsidR="00E918CF" w:rsidRPr="00A8552E">
        <w:rPr>
          <w:rFonts w:ascii="Arial" w:eastAsia="Times" w:hAnsi="Arial" w:cs="Arial"/>
          <w:sz w:val="24"/>
          <w:szCs w:val="24"/>
          <w:lang w:val="de-DE"/>
        </w:rPr>
        <w:t>2</w:t>
      </w:r>
      <w:r w:rsidRPr="00A8552E">
        <w:rPr>
          <w:rFonts w:ascii="Arial" w:eastAsia="Times" w:hAnsi="Arial" w:cs="Arial"/>
          <w:sz w:val="24"/>
          <w:szCs w:val="24"/>
          <w:lang w:val="de-DE"/>
        </w:rPr>
        <w:t>.0</w:t>
      </w:r>
      <w:r w:rsidR="00C525E8" w:rsidRPr="00A8552E">
        <w:rPr>
          <w:rFonts w:ascii="Arial" w:eastAsia="Times" w:hAnsi="Arial" w:cs="Arial"/>
          <w:sz w:val="24"/>
          <w:szCs w:val="24"/>
          <w:lang w:val="de-DE"/>
        </w:rPr>
        <w:t>9</w:t>
      </w:r>
      <w:r w:rsidRPr="00A8552E">
        <w:rPr>
          <w:rFonts w:ascii="Arial" w:eastAsia="Times" w:hAnsi="Arial" w:cs="Arial"/>
          <w:sz w:val="24"/>
          <w:szCs w:val="24"/>
          <w:lang w:val="de-DE"/>
        </w:rPr>
        <w:t xml:space="preserve">.2016 – </w:t>
      </w:r>
      <w:r w:rsidR="008A36B1" w:rsidRPr="00A8552E">
        <w:rPr>
          <w:rFonts w:ascii="Arial" w:eastAsia="Times" w:hAnsi="Arial" w:cs="Arial"/>
          <w:sz w:val="24"/>
          <w:szCs w:val="24"/>
          <w:lang w:val="de-DE"/>
        </w:rPr>
        <w:t xml:space="preserve">Honeywell hat für die Verwendung in explosionsgefährdeten Bereichen vier Varianten </w:t>
      </w:r>
      <w:r w:rsidR="00430946" w:rsidRPr="00A8552E">
        <w:rPr>
          <w:rFonts w:ascii="Arial" w:eastAsia="Times" w:hAnsi="Arial" w:cs="Arial"/>
          <w:sz w:val="24"/>
          <w:szCs w:val="24"/>
          <w:lang w:val="de-DE"/>
        </w:rPr>
        <w:t>seines</w:t>
      </w:r>
      <w:r w:rsidR="008A36B1" w:rsidRPr="00A8552E">
        <w:rPr>
          <w:rFonts w:ascii="Arial" w:eastAsia="Times" w:hAnsi="Arial" w:cs="Arial"/>
          <w:sz w:val="24"/>
          <w:szCs w:val="24"/>
          <w:lang w:val="de-DE"/>
        </w:rPr>
        <w:t xml:space="preserve"> Handfeuermelders </w:t>
      </w:r>
      <w:r w:rsidR="00430946" w:rsidRPr="00A8552E">
        <w:rPr>
          <w:rFonts w:ascii="Arial" w:eastAsia="Times" w:hAnsi="Arial" w:cs="Arial"/>
          <w:sz w:val="24"/>
          <w:szCs w:val="24"/>
          <w:lang w:val="de-DE"/>
        </w:rPr>
        <w:t xml:space="preserve">MCP Ex (i) </w:t>
      </w:r>
      <w:r w:rsidR="008A36B1" w:rsidRPr="00A8552E">
        <w:rPr>
          <w:rFonts w:ascii="Arial" w:eastAsia="Times" w:hAnsi="Arial" w:cs="Arial"/>
          <w:sz w:val="24"/>
          <w:szCs w:val="24"/>
          <w:lang w:val="de-DE"/>
        </w:rPr>
        <w:t xml:space="preserve">zertifizieren lassen. </w:t>
      </w:r>
      <w:r w:rsidR="004D6F9B" w:rsidRPr="00A8552E">
        <w:rPr>
          <w:rFonts w:ascii="Arial" w:eastAsia="Times" w:hAnsi="Arial" w:cs="Arial"/>
          <w:sz w:val="24"/>
          <w:szCs w:val="24"/>
          <w:lang w:val="de-DE"/>
        </w:rPr>
        <w:t xml:space="preserve">Somit erfüllen </w:t>
      </w:r>
      <w:r w:rsidR="0073469B" w:rsidRPr="00A8552E">
        <w:rPr>
          <w:rFonts w:ascii="Arial" w:eastAsia="Times" w:hAnsi="Arial" w:cs="Arial"/>
          <w:sz w:val="24"/>
          <w:szCs w:val="24"/>
          <w:lang w:val="de-DE"/>
        </w:rPr>
        <w:t>diese</w:t>
      </w:r>
      <w:r w:rsidR="004D6F9B" w:rsidRPr="00A8552E">
        <w:rPr>
          <w:rFonts w:ascii="Arial" w:eastAsia="Times" w:hAnsi="Arial" w:cs="Arial"/>
          <w:sz w:val="24"/>
          <w:szCs w:val="24"/>
          <w:lang w:val="de-DE"/>
        </w:rPr>
        <w:t xml:space="preserve"> die europäischen ATEX-Richtlinien und können in Bereichen der Zone 1 bis einschließlich der Explosionsgruppe IIC T4 – entsprechend der Gerätekategorie 2G – betrieben werden. </w:t>
      </w:r>
    </w:p>
    <w:p w:rsidR="00096236" w:rsidRPr="00A8552E" w:rsidRDefault="00096236" w:rsidP="008A36B1">
      <w:pPr>
        <w:tabs>
          <w:tab w:val="left" w:pos="426"/>
          <w:tab w:val="left" w:pos="993"/>
          <w:tab w:val="left" w:pos="4253"/>
        </w:tabs>
        <w:spacing w:line="360" w:lineRule="atLeast"/>
        <w:rPr>
          <w:rFonts w:ascii="Arial" w:eastAsia="Times" w:hAnsi="Arial" w:cs="Arial"/>
          <w:sz w:val="24"/>
          <w:szCs w:val="24"/>
          <w:lang w:val="de-DE"/>
        </w:rPr>
      </w:pPr>
      <w:r w:rsidRPr="00A8552E">
        <w:rPr>
          <w:rFonts w:ascii="Arial" w:eastAsia="Times" w:hAnsi="Arial" w:cs="Arial"/>
          <w:sz w:val="24"/>
          <w:szCs w:val="24"/>
          <w:lang w:val="de-DE"/>
        </w:rPr>
        <w:t xml:space="preserve">Die Handfeuermelder </w:t>
      </w:r>
      <w:r w:rsidR="0085659D" w:rsidRPr="00A8552E">
        <w:rPr>
          <w:rFonts w:ascii="Arial" w:eastAsia="Times" w:hAnsi="Arial" w:cs="Arial"/>
          <w:sz w:val="24"/>
          <w:szCs w:val="24"/>
          <w:lang w:val="de-DE"/>
        </w:rPr>
        <w:t xml:space="preserve">sind </w:t>
      </w:r>
      <w:r w:rsidR="000A3350" w:rsidRPr="00A8552E">
        <w:rPr>
          <w:rFonts w:ascii="Arial" w:eastAsia="Times" w:hAnsi="Arial" w:cs="Arial"/>
          <w:sz w:val="24"/>
          <w:szCs w:val="24"/>
          <w:lang w:val="de-DE"/>
        </w:rPr>
        <w:t xml:space="preserve">sowohl </w:t>
      </w:r>
      <w:r w:rsidR="0085659D" w:rsidRPr="00A8552E">
        <w:rPr>
          <w:rFonts w:ascii="Arial" w:eastAsia="Times" w:hAnsi="Arial" w:cs="Arial"/>
          <w:sz w:val="24"/>
          <w:szCs w:val="24"/>
          <w:lang w:val="de-DE"/>
        </w:rPr>
        <w:t xml:space="preserve">für voll adressierbaren </w:t>
      </w:r>
      <w:r w:rsidR="000A3350" w:rsidRPr="00A8552E">
        <w:rPr>
          <w:rFonts w:ascii="Arial" w:eastAsia="Times" w:hAnsi="Arial" w:cs="Arial"/>
          <w:sz w:val="24"/>
          <w:szCs w:val="24"/>
          <w:lang w:val="de-DE"/>
        </w:rPr>
        <w:t xml:space="preserve">als auch </w:t>
      </w:r>
      <w:r w:rsidR="0085659D" w:rsidRPr="00A8552E">
        <w:rPr>
          <w:rFonts w:ascii="Arial" w:eastAsia="Times" w:hAnsi="Arial" w:cs="Arial"/>
          <w:sz w:val="24"/>
          <w:szCs w:val="24"/>
          <w:lang w:val="de-DE"/>
        </w:rPr>
        <w:t>konventionellen Betrieb</w:t>
      </w:r>
      <w:r w:rsidR="000A3350" w:rsidRPr="00A8552E">
        <w:rPr>
          <w:rFonts w:ascii="Arial" w:eastAsia="Times" w:hAnsi="Arial" w:cs="Arial"/>
          <w:sz w:val="24"/>
          <w:szCs w:val="24"/>
          <w:lang w:val="de-DE"/>
        </w:rPr>
        <w:t xml:space="preserve"> konzipiert</w:t>
      </w:r>
      <w:r w:rsidR="0085659D" w:rsidRPr="00A8552E">
        <w:rPr>
          <w:rFonts w:ascii="Arial" w:eastAsia="Times" w:hAnsi="Arial" w:cs="Arial"/>
          <w:sz w:val="24"/>
          <w:szCs w:val="24"/>
          <w:lang w:val="de-DE"/>
        </w:rPr>
        <w:t xml:space="preserve">. Sie sind gemäß EN 54-11 als Typ A und Typ B </w:t>
      </w:r>
      <w:r w:rsidR="00244CCA" w:rsidRPr="00A8552E">
        <w:rPr>
          <w:rFonts w:ascii="Arial" w:eastAsia="Times" w:hAnsi="Arial" w:cs="Arial"/>
          <w:sz w:val="24"/>
          <w:szCs w:val="24"/>
          <w:lang w:val="de-DE"/>
        </w:rPr>
        <w:t xml:space="preserve">(kleine und große Bauform) </w:t>
      </w:r>
      <w:r w:rsidR="0085659D" w:rsidRPr="00A8552E">
        <w:rPr>
          <w:rFonts w:ascii="Arial" w:eastAsia="Times" w:hAnsi="Arial" w:cs="Arial"/>
          <w:sz w:val="24"/>
          <w:szCs w:val="24"/>
          <w:lang w:val="de-DE"/>
        </w:rPr>
        <w:t>verfügbar und ermöglichen durch ihren hohen IP Schutz – bis IP 66/67 – die Verwendung in feuchten Räumen.</w:t>
      </w:r>
    </w:p>
    <w:p w:rsidR="008A36B1" w:rsidRPr="00A8552E" w:rsidRDefault="008A36B1" w:rsidP="008A36B1">
      <w:pPr>
        <w:tabs>
          <w:tab w:val="left" w:pos="426"/>
          <w:tab w:val="left" w:pos="993"/>
          <w:tab w:val="left" w:pos="4253"/>
        </w:tabs>
        <w:spacing w:line="360" w:lineRule="atLeast"/>
        <w:rPr>
          <w:rFonts w:ascii="Arial" w:hAnsi="Arial" w:cs="Arial"/>
          <w:bCs/>
          <w:sz w:val="24"/>
          <w:szCs w:val="24"/>
          <w:lang w:val="de-DE"/>
        </w:rPr>
      </w:pPr>
      <w:r w:rsidRPr="00A8552E">
        <w:rPr>
          <w:rFonts w:ascii="Arial" w:hAnsi="Arial" w:cs="Arial"/>
          <w:bCs/>
          <w:sz w:val="24"/>
          <w:szCs w:val="24"/>
          <w:lang w:val="de-DE"/>
        </w:rPr>
        <w:t xml:space="preserve">Ex-Bereiche, also Betriebs- bzw. Lagerzonen mit prozessbedingter Explosionsgefahr, gelten als besondere Herausforderung für effizienten und nachhaltigen Brandschutz. Mit busfähigen Ex-Barrieren </w:t>
      </w:r>
      <w:r w:rsidR="00C04D26" w:rsidRPr="00A8552E">
        <w:rPr>
          <w:rFonts w:ascii="Arial" w:hAnsi="Arial" w:cs="Arial"/>
          <w:bCs/>
          <w:sz w:val="24"/>
          <w:szCs w:val="24"/>
          <w:lang w:val="de-DE"/>
        </w:rPr>
        <w:t xml:space="preserve">und einzeladressierbaren Produkten </w:t>
      </w:r>
      <w:r w:rsidRPr="00A8552E">
        <w:rPr>
          <w:rFonts w:ascii="Arial" w:hAnsi="Arial" w:cs="Arial"/>
          <w:bCs/>
          <w:sz w:val="24"/>
          <w:szCs w:val="24"/>
          <w:lang w:val="de-DE"/>
        </w:rPr>
        <w:t>tragen Hersteller zu einem einfacheren und effizienteren Brandschutz in besonders gefährdeten Bereichen bei und sorgen für höchste Sicherheit unter schwierigsten Bedingungen.</w:t>
      </w:r>
    </w:p>
    <w:p w:rsidR="008A36B1" w:rsidRPr="00A8552E" w:rsidRDefault="008A36B1" w:rsidP="008A36B1">
      <w:pPr>
        <w:spacing w:line="360" w:lineRule="auto"/>
        <w:rPr>
          <w:rFonts w:ascii="Arial" w:hAnsi="Arial" w:cs="Arial"/>
          <w:bCs/>
          <w:sz w:val="24"/>
          <w:szCs w:val="24"/>
          <w:lang w:val="de-DE"/>
        </w:rPr>
      </w:pPr>
      <w:r w:rsidRPr="00A8552E">
        <w:rPr>
          <w:rFonts w:ascii="Arial" w:hAnsi="Arial" w:cs="Arial"/>
          <w:bCs/>
          <w:sz w:val="24"/>
          <w:szCs w:val="24"/>
          <w:lang w:val="de-DE"/>
        </w:rPr>
        <w:t xml:space="preserve">Die europäische Richtlinie ATEX unterscheidet verschiedene explosionsfähige Atmosphären nach ihrem Risikofaktor. Ihren speziellen Anforderungen müssen auch die in diesen Bereichen installierten Geräte der Brandmeldetechnik entsprechen. Aus dieser Einteilung ergibt sich der Umfang der zu ergreifenden Maßnahmen. Ex-Produkte müssen den Schutzzielen dieser ATEX-Richtlinie im Geltungsbereich entsprechen. </w:t>
      </w:r>
    </w:p>
    <w:p w:rsidR="00A8552E" w:rsidRDefault="00A8552E">
      <w:pPr>
        <w:rPr>
          <w:rFonts w:ascii="Arial" w:hAnsi="Arial" w:cs="Arial"/>
          <w:bCs/>
          <w:lang w:val="de-DE"/>
        </w:rPr>
      </w:pPr>
      <w:r>
        <w:rPr>
          <w:rFonts w:ascii="Arial" w:hAnsi="Arial" w:cs="Arial"/>
          <w:bCs/>
          <w:lang w:val="de-DE"/>
        </w:rPr>
        <w:br w:type="page"/>
      </w:r>
    </w:p>
    <w:p w:rsidR="004D3EE3" w:rsidRDefault="00E918CF" w:rsidP="00C92E96">
      <w:pPr>
        <w:autoSpaceDE w:val="0"/>
        <w:autoSpaceDN w:val="0"/>
        <w:adjustRightInd w:val="0"/>
        <w:spacing w:line="360" w:lineRule="auto"/>
        <w:rPr>
          <w:rFonts w:ascii="Arial" w:hAnsi="Arial" w:cs="Arial"/>
          <w:lang w:val="de-DE"/>
        </w:rPr>
      </w:pPr>
      <w:r w:rsidRPr="00A8552E">
        <w:rPr>
          <w:rFonts w:ascii="Arial" w:hAnsi="Arial" w:cs="Arial"/>
          <w:bCs/>
          <w:sz w:val="24"/>
          <w:szCs w:val="24"/>
          <w:lang w:val="de-DE"/>
        </w:rPr>
        <w:lastRenderedPageBreak/>
        <w:t xml:space="preserve">Für den Einsatz in explosionsgefährdeten Bereichen </w:t>
      </w:r>
      <w:r w:rsidR="008A36B1" w:rsidRPr="00A8552E">
        <w:rPr>
          <w:rFonts w:ascii="Arial" w:hAnsi="Arial" w:cs="Arial"/>
          <w:bCs/>
          <w:sz w:val="24"/>
          <w:szCs w:val="24"/>
          <w:lang w:val="de-DE"/>
        </w:rPr>
        <w:t xml:space="preserve">existiert </w:t>
      </w:r>
      <w:r w:rsidRPr="00A8552E">
        <w:rPr>
          <w:rFonts w:ascii="Arial" w:hAnsi="Arial" w:cs="Arial"/>
          <w:bCs/>
          <w:sz w:val="24"/>
          <w:szCs w:val="24"/>
          <w:lang w:val="de-DE"/>
        </w:rPr>
        <w:t xml:space="preserve">bereits </w:t>
      </w:r>
      <w:r w:rsidR="008A36B1" w:rsidRPr="00A8552E">
        <w:rPr>
          <w:rFonts w:ascii="Arial" w:hAnsi="Arial" w:cs="Arial"/>
          <w:bCs/>
          <w:sz w:val="24"/>
          <w:szCs w:val="24"/>
          <w:lang w:val="de-DE"/>
        </w:rPr>
        <w:t>eine breite Palette von Peripherieelementen</w:t>
      </w:r>
      <w:r w:rsidR="00A73D04">
        <w:rPr>
          <w:rFonts w:ascii="Arial" w:hAnsi="Arial" w:cs="Arial"/>
          <w:bCs/>
          <w:sz w:val="24"/>
          <w:szCs w:val="24"/>
          <w:lang w:val="de-DE"/>
        </w:rPr>
        <w:t>.</w:t>
      </w:r>
      <w:r w:rsidR="008A36B1" w:rsidRPr="00A8552E">
        <w:rPr>
          <w:rFonts w:ascii="Arial" w:hAnsi="Arial" w:cs="Arial"/>
          <w:bCs/>
          <w:sz w:val="24"/>
          <w:szCs w:val="24"/>
          <w:lang w:val="de-DE"/>
        </w:rPr>
        <w:t xml:space="preserve"> </w:t>
      </w:r>
      <w:r w:rsidR="00AB3E5F" w:rsidRPr="00A8552E">
        <w:rPr>
          <w:rFonts w:ascii="Arial" w:hAnsi="Arial" w:cs="Arial"/>
          <w:bCs/>
          <w:sz w:val="24"/>
          <w:szCs w:val="24"/>
          <w:lang w:val="de-DE"/>
        </w:rPr>
        <w:t>N</w:t>
      </w:r>
      <w:r w:rsidR="008A36B1" w:rsidRPr="00A8552E">
        <w:rPr>
          <w:rFonts w:ascii="Arial" w:hAnsi="Arial" w:cs="Arial"/>
          <w:bCs/>
          <w:sz w:val="24"/>
          <w:szCs w:val="24"/>
          <w:lang w:val="de-DE"/>
        </w:rPr>
        <w:t>eben den</w:t>
      </w:r>
      <w:r w:rsidR="008A36B1" w:rsidRPr="00A8552E">
        <w:rPr>
          <w:rFonts w:ascii="Arial" w:hAnsi="Arial" w:cs="Arial"/>
          <w:bCs/>
          <w:color w:val="FF0000"/>
          <w:sz w:val="24"/>
          <w:szCs w:val="24"/>
          <w:lang w:val="de-DE"/>
        </w:rPr>
        <w:t xml:space="preserve"> </w:t>
      </w:r>
      <w:r w:rsidR="00C04D26" w:rsidRPr="00A8552E">
        <w:rPr>
          <w:rFonts w:ascii="Arial" w:hAnsi="Arial" w:cs="Arial"/>
          <w:bCs/>
          <w:sz w:val="24"/>
          <w:szCs w:val="24"/>
          <w:lang w:val="de-DE"/>
        </w:rPr>
        <w:t>einzeladressierbaren</w:t>
      </w:r>
      <w:r w:rsidR="00716BAB" w:rsidRPr="00A8552E">
        <w:rPr>
          <w:rFonts w:ascii="Arial" w:hAnsi="Arial" w:cs="Arial"/>
          <w:bCs/>
          <w:sz w:val="24"/>
          <w:szCs w:val="24"/>
          <w:lang w:val="de-DE"/>
        </w:rPr>
        <w:t>,</w:t>
      </w:r>
      <w:r w:rsidR="00C04D26" w:rsidRPr="00A8552E">
        <w:rPr>
          <w:rFonts w:ascii="Arial" w:hAnsi="Arial" w:cs="Arial"/>
          <w:bCs/>
          <w:sz w:val="24"/>
          <w:szCs w:val="24"/>
          <w:lang w:val="de-DE"/>
        </w:rPr>
        <w:t xml:space="preserve"> </w:t>
      </w:r>
      <w:r w:rsidR="008A36B1" w:rsidRPr="00A8552E">
        <w:rPr>
          <w:rFonts w:ascii="Arial" w:hAnsi="Arial" w:cs="Arial"/>
          <w:bCs/>
          <w:sz w:val="24"/>
          <w:szCs w:val="24"/>
          <w:lang w:val="de-DE"/>
        </w:rPr>
        <w:t>automatischen Brandme</w:t>
      </w:r>
      <w:r w:rsidRPr="00A8552E">
        <w:rPr>
          <w:rFonts w:ascii="Arial" w:hAnsi="Arial" w:cs="Arial"/>
          <w:bCs/>
          <w:sz w:val="24"/>
          <w:szCs w:val="24"/>
          <w:lang w:val="de-DE"/>
        </w:rPr>
        <w:t>ldern (Thermodifferentialmelder,</w:t>
      </w:r>
      <w:r w:rsidR="008A36B1" w:rsidRPr="00A8552E">
        <w:rPr>
          <w:rFonts w:ascii="Arial" w:hAnsi="Arial" w:cs="Arial"/>
          <w:bCs/>
          <w:sz w:val="24"/>
          <w:szCs w:val="24"/>
          <w:lang w:val="de-DE"/>
        </w:rPr>
        <w:t xml:space="preserve"> Optische Rauchmelder, O²T Multisensormelder)</w:t>
      </w:r>
      <w:r w:rsidR="00AB3E5F" w:rsidRPr="00A8552E">
        <w:rPr>
          <w:rFonts w:ascii="Arial" w:hAnsi="Arial" w:cs="Arial"/>
          <w:bCs/>
          <w:sz w:val="24"/>
          <w:szCs w:val="24"/>
          <w:lang w:val="de-DE"/>
        </w:rPr>
        <w:t xml:space="preserve">, Sondermeldern (IR-Flammenmelder, UV-IR-Flammenmelder) sowie Signalgebern und Feststellanlagen </w:t>
      </w:r>
      <w:r w:rsidR="008A36B1" w:rsidRPr="00A8552E">
        <w:rPr>
          <w:rFonts w:ascii="Arial" w:hAnsi="Arial" w:cs="Arial"/>
          <w:bCs/>
          <w:sz w:val="24"/>
          <w:szCs w:val="24"/>
          <w:lang w:val="de-DE"/>
        </w:rPr>
        <w:t xml:space="preserve">ergänzen </w:t>
      </w:r>
      <w:r w:rsidR="00AB3E5F" w:rsidRPr="00A8552E">
        <w:rPr>
          <w:rFonts w:ascii="Arial" w:hAnsi="Arial" w:cs="Arial"/>
          <w:bCs/>
          <w:sz w:val="24"/>
          <w:szCs w:val="24"/>
          <w:lang w:val="de-DE"/>
        </w:rPr>
        <w:t xml:space="preserve">nun auch </w:t>
      </w:r>
      <w:r w:rsidR="00096236" w:rsidRPr="00A8552E">
        <w:rPr>
          <w:rFonts w:ascii="Arial" w:hAnsi="Arial" w:cs="Arial"/>
          <w:bCs/>
          <w:sz w:val="24"/>
          <w:szCs w:val="24"/>
          <w:lang w:val="de-DE"/>
        </w:rPr>
        <w:t>die voll adressierbaren und konventionellen</w:t>
      </w:r>
      <w:r w:rsidR="00096236" w:rsidRPr="00A8552E">
        <w:rPr>
          <w:rFonts w:ascii="Arial" w:hAnsi="Arial" w:cs="Arial"/>
          <w:bCs/>
          <w:color w:val="FF0000"/>
          <w:sz w:val="24"/>
          <w:szCs w:val="24"/>
          <w:lang w:val="de-DE"/>
        </w:rPr>
        <w:t xml:space="preserve"> </w:t>
      </w:r>
      <w:r w:rsidR="008A36B1" w:rsidRPr="00A8552E">
        <w:rPr>
          <w:rFonts w:ascii="Arial" w:hAnsi="Arial" w:cs="Arial"/>
          <w:bCs/>
          <w:sz w:val="24"/>
          <w:szCs w:val="24"/>
          <w:lang w:val="de-DE"/>
        </w:rPr>
        <w:t>Hand</w:t>
      </w:r>
      <w:r w:rsidRPr="00A8552E">
        <w:rPr>
          <w:rFonts w:ascii="Arial" w:hAnsi="Arial" w:cs="Arial"/>
          <w:bCs/>
          <w:sz w:val="24"/>
          <w:szCs w:val="24"/>
          <w:lang w:val="de-DE"/>
        </w:rPr>
        <w:t>feuer</w:t>
      </w:r>
      <w:r w:rsidR="008A36B1" w:rsidRPr="00A8552E">
        <w:rPr>
          <w:rFonts w:ascii="Arial" w:hAnsi="Arial" w:cs="Arial"/>
          <w:bCs/>
          <w:sz w:val="24"/>
          <w:szCs w:val="24"/>
          <w:lang w:val="de-DE"/>
        </w:rPr>
        <w:t>melder</w:t>
      </w:r>
      <w:r w:rsidR="00AB3E5F" w:rsidRPr="00A8552E">
        <w:rPr>
          <w:rFonts w:ascii="Arial" w:hAnsi="Arial" w:cs="Arial"/>
          <w:bCs/>
          <w:sz w:val="24"/>
          <w:szCs w:val="24"/>
          <w:lang w:val="de-DE"/>
        </w:rPr>
        <w:t xml:space="preserve"> </w:t>
      </w:r>
      <w:r w:rsidR="008A36B1" w:rsidRPr="00A8552E">
        <w:rPr>
          <w:rFonts w:ascii="Arial" w:hAnsi="Arial" w:cs="Arial"/>
          <w:bCs/>
          <w:sz w:val="24"/>
          <w:szCs w:val="24"/>
          <w:lang w:val="de-DE"/>
        </w:rPr>
        <w:t>das ausgereifte Produktportfolio</w:t>
      </w:r>
      <w:r w:rsidR="00CD172C" w:rsidRPr="00A8552E">
        <w:rPr>
          <w:rFonts w:ascii="Arial" w:hAnsi="Arial" w:cs="Arial"/>
          <w:bCs/>
          <w:sz w:val="24"/>
          <w:szCs w:val="24"/>
          <w:lang w:val="de-DE"/>
        </w:rPr>
        <w:t xml:space="preserve"> </w:t>
      </w:r>
      <w:r w:rsidR="00AB3E5F" w:rsidRPr="00A8552E">
        <w:rPr>
          <w:rFonts w:ascii="Arial" w:hAnsi="Arial" w:cs="Arial"/>
          <w:bCs/>
          <w:sz w:val="24"/>
          <w:szCs w:val="24"/>
          <w:lang w:val="de-DE"/>
        </w:rPr>
        <w:t>von Honeywell für explosionsgefährdete Bereiche.</w:t>
      </w:r>
      <w:r w:rsidR="008D4233">
        <w:rPr>
          <w:rFonts w:ascii="Arial" w:hAnsi="Arial" w:cs="Arial"/>
          <w:bCs/>
          <w:sz w:val="24"/>
          <w:szCs w:val="24"/>
          <w:lang w:val="de-DE"/>
        </w:rPr>
        <w:t xml:space="preserve"> </w:t>
      </w:r>
      <w:r w:rsidR="004D3EE3" w:rsidRPr="00C61CC6">
        <w:rPr>
          <w:rFonts w:ascii="Arial" w:hAnsi="Arial" w:cs="Arial"/>
          <w:lang w:val="de-DE"/>
        </w:rPr>
        <w:t>■</w:t>
      </w:r>
    </w:p>
    <w:p w:rsidR="00AD55E0" w:rsidRPr="00C61CC6" w:rsidRDefault="00AD55E0" w:rsidP="00880F13">
      <w:pPr>
        <w:spacing w:after="0" w:line="360" w:lineRule="auto"/>
        <w:jc w:val="both"/>
        <w:rPr>
          <w:rFonts w:ascii="Arial" w:hAnsi="Arial" w:cs="Arial"/>
          <w:lang w:val="de-DE"/>
        </w:rPr>
      </w:pPr>
      <w:r>
        <w:rPr>
          <w:rFonts w:ascii="Arial" w:hAnsi="Arial" w:cs="Arial"/>
          <w:lang w:val="de-DE"/>
        </w:rPr>
        <w:t>-------------------------------------------------------------------------------------------------------------------------------</w:t>
      </w:r>
    </w:p>
    <w:p w:rsidR="00C525E8" w:rsidRPr="00A8552E" w:rsidRDefault="004D3EE3" w:rsidP="00C525E8">
      <w:pPr>
        <w:tabs>
          <w:tab w:val="left" w:pos="142"/>
        </w:tabs>
        <w:autoSpaceDE w:val="0"/>
        <w:autoSpaceDN w:val="0"/>
        <w:adjustRightInd w:val="0"/>
        <w:rPr>
          <w:rFonts w:ascii="Arial" w:hAnsi="Arial" w:cs="Arial"/>
          <w:sz w:val="20"/>
          <w:szCs w:val="20"/>
          <w:lang w:val="de-DE"/>
        </w:rPr>
      </w:pPr>
      <w:r w:rsidRPr="00A8552E">
        <w:rPr>
          <w:rFonts w:ascii="Arial" w:hAnsi="Arial" w:cs="Arial"/>
          <w:sz w:val="20"/>
          <w:szCs w:val="20"/>
          <w:lang w:val="de-DE"/>
        </w:rPr>
        <w:t>1</w:t>
      </w:r>
      <w:r w:rsidR="00716BAB" w:rsidRPr="00A8552E">
        <w:rPr>
          <w:rFonts w:ascii="Arial" w:hAnsi="Arial" w:cs="Arial"/>
          <w:sz w:val="20"/>
          <w:szCs w:val="20"/>
          <w:lang w:val="de-DE"/>
        </w:rPr>
        <w:t>9</w:t>
      </w:r>
      <w:r w:rsidR="00ED2121" w:rsidRPr="00A8552E">
        <w:rPr>
          <w:rFonts w:ascii="Arial" w:hAnsi="Arial" w:cs="Arial"/>
          <w:sz w:val="20"/>
          <w:szCs w:val="20"/>
          <w:lang w:val="de-DE"/>
        </w:rPr>
        <w:t>83</w:t>
      </w:r>
      <w:r w:rsidR="00880F13" w:rsidRPr="00A8552E">
        <w:rPr>
          <w:rFonts w:ascii="Arial" w:hAnsi="Arial" w:cs="Arial"/>
          <w:sz w:val="20"/>
          <w:szCs w:val="20"/>
          <w:lang w:val="de-DE"/>
        </w:rPr>
        <w:t xml:space="preserve"> Zeichen (inkl. Leerzeichen</w:t>
      </w:r>
      <w:r w:rsidR="00C525E8" w:rsidRPr="00A8552E">
        <w:rPr>
          <w:rFonts w:ascii="Arial" w:hAnsi="Arial" w:cs="Arial"/>
          <w:sz w:val="20"/>
          <w:szCs w:val="20"/>
          <w:lang w:val="de-DE"/>
        </w:rPr>
        <w:t>)</w:t>
      </w:r>
    </w:p>
    <w:p w:rsidR="00A8552E" w:rsidRDefault="00A8552E">
      <w:pPr>
        <w:rPr>
          <w:rFonts w:ascii="Arial" w:hAnsi="Arial" w:cs="Arial"/>
          <w:b/>
          <w:i/>
          <w:sz w:val="20"/>
          <w:szCs w:val="20"/>
          <w:lang w:val="de-DE"/>
        </w:rPr>
      </w:pPr>
      <w:r>
        <w:rPr>
          <w:rFonts w:ascii="Arial" w:hAnsi="Arial" w:cs="Arial"/>
          <w:b/>
          <w:i/>
          <w:sz w:val="20"/>
          <w:szCs w:val="20"/>
          <w:lang w:val="de-DE"/>
        </w:rPr>
        <w:br w:type="page"/>
      </w:r>
    </w:p>
    <w:p w:rsidR="00716BAB" w:rsidRDefault="00A8552E" w:rsidP="00C525E8">
      <w:pPr>
        <w:tabs>
          <w:tab w:val="left" w:pos="142"/>
        </w:tabs>
        <w:autoSpaceDE w:val="0"/>
        <w:autoSpaceDN w:val="0"/>
        <w:adjustRightInd w:val="0"/>
        <w:rPr>
          <w:rFonts w:ascii="Arial" w:hAnsi="Arial" w:cs="Arial"/>
          <w:b/>
          <w:i/>
          <w:sz w:val="20"/>
          <w:szCs w:val="20"/>
          <w:lang w:val="de-DE"/>
        </w:rPr>
      </w:pPr>
      <w:r>
        <w:rPr>
          <w:noProof/>
          <w:lang w:val="de-DE" w:eastAsia="de-DE"/>
        </w:rPr>
        <w:lastRenderedPageBreak/>
        <w:drawing>
          <wp:anchor distT="0" distB="0" distL="114300" distR="114300" simplePos="0" relativeHeight="251659264" behindDoc="1" locked="0" layoutInCell="1" allowOverlap="1" wp14:anchorId="48D158DC" wp14:editId="224ADE4B">
            <wp:simplePos x="0" y="0"/>
            <wp:positionH relativeFrom="margin">
              <wp:posOffset>3667125</wp:posOffset>
            </wp:positionH>
            <wp:positionV relativeFrom="paragraph">
              <wp:posOffset>209550</wp:posOffset>
            </wp:positionV>
            <wp:extent cx="1495425" cy="1322070"/>
            <wp:effectExtent l="0" t="0" r="9525" b="0"/>
            <wp:wrapTight wrapText="bothSides">
              <wp:wrapPolygon edited="0">
                <wp:start x="0" y="0"/>
                <wp:lineTo x="0" y="21164"/>
                <wp:lineTo x="21462" y="21164"/>
                <wp:lineTo x="21462"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495425" cy="1322070"/>
                    </a:xfrm>
                    <a:prstGeom prst="rect">
                      <a:avLst/>
                    </a:prstGeom>
                  </pic:spPr>
                </pic:pic>
              </a:graphicData>
            </a:graphic>
            <wp14:sizeRelH relativeFrom="margin">
              <wp14:pctWidth>0</wp14:pctWidth>
            </wp14:sizeRelH>
            <wp14:sizeRelV relativeFrom="margin">
              <wp14:pctHeight>0</wp14:pctHeight>
            </wp14:sizeRelV>
          </wp:anchor>
        </w:drawing>
      </w:r>
      <w:r w:rsidR="00716BAB">
        <w:rPr>
          <w:noProof/>
          <w:lang w:val="de-DE" w:eastAsia="de-DE"/>
        </w:rPr>
        <w:drawing>
          <wp:anchor distT="0" distB="0" distL="114300" distR="114300" simplePos="0" relativeHeight="251658240" behindDoc="1" locked="0" layoutInCell="1" allowOverlap="1" wp14:anchorId="252C0597" wp14:editId="24DF3538">
            <wp:simplePos x="0" y="0"/>
            <wp:positionH relativeFrom="margin">
              <wp:align>left</wp:align>
            </wp:positionH>
            <wp:positionV relativeFrom="paragraph">
              <wp:posOffset>157480</wp:posOffset>
            </wp:positionV>
            <wp:extent cx="2447925" cy="1339850"/>
            <wp:effectExtent l="0" t="0" r="0" b="0"/>
            <wp:wrapTight wrapText="bothSides">
              <wp:wrapPolygon edited="0">
                <wp:start x="0" y="0"/>
                <wp:lineTo x="0" y="21191"/>
                <wp:lineTo x="21348" y="21191"/>
                <wp:lineTo x="21348"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458419" cy="1346121"/>
                    </a:xfrm>
                    <a:prstGeom prst="rect">
                      <a:avLst/>
                    </a:prstGeom>
                  </pic:spPr>
                </pic:pic>
              </a:graphicData>
            </a:graphic>
            <wp14:sizeRelH relativeFrom="margin">
              <wp14:pctWidth>0</wp14:pctWidth>
            </wp14:sizeRelH>
            <wp14:sizeRelV relativeFrom="margin">
              <wp14:pctHeight>0</wp14:pctHeight>
            </wp14:sizeRelV>
          </wp:anchor>
        </w:drawing>
      </w:r>
    </w:p>
    <w:p w:rsidR="003A1DB7" w:rsidRDefault="003A1DB7" w:rsidP="003A1DB7">
      <w:pPr>
        <w:rPr>
          <w:rFonts w:ascii="Arial" w:hAnsi="Arial" w:cs="Arial"/>
          <w:b/>
          <w:sz w:val="20"/>
          <w:szCs w:val="20"/>
          <w:lang w:val="fr-FR"/>
        </w:rPr>
      </w:pPr>
    </w:p>
    <w:p w:rsidR="006700AB" w:rsidRDefault="006700AB" w:rsidP="00B13848">
      <w:pPr>
        <w:rPr>
          <w:rFonts w:ascii="Arial" w:hAnsi="Arial" w:cs="Arial"/>
          <w:b/>
          <w:sz w:val="20"/>
          <w:szCs w:val="20"/>
          <w:lang w:val="fr-FR"/>
        </w:rPr>
      </w:pPr>
    </w:p>
    <w:p w:rsidR="006700AB" w:rsidRDefault="006700AB" w:rsidP="00B13848">
      <w:pPr>
        <w:rPr>
          <w:rFonts w:ascii="Arial" w:hAnsi="Arial" w:cs="Arial"/>
          <w:b/>
          <w:sz w:val="20"/>
          <w:szCs w:val="20"/>
          <w:lang w:val="fr-FR"/>
        </w:rPr>
      </w:pPr>
    </w:p>
    <w:p w:rsidR="006700AB" w:rsidRDefault="006700AB" w:rsidP="00B13848">
      <w:pPr>
        <w:rPr>
          <w:rFonts w:ascii="Arial" w:hAnsi="Arial" w:cs="Arial"/>
          <w:b/>
          <w:sz w:val="20"/>
          <w:szCs w:val="20"/>
          <w:lang w:val="fr-FR"/>
        </w:rPr>
      </w:pPr>
    </w:p>
    <w:p w:rsidR="00A8552E" w:rsidRDefault="00A8552E" w:rsidP="00F33357">
      <w:pPr>
        <w:spacing w:after="0" w:line="240" w:lineRule="auto"/>
        <w:ind w:left="5761" w:hanging="5761"/>
        <w:rPr>
          <w:rFonts w:ascii="Arial" w:hAnsi="Arial" w:cs="Arial"/>
          <w:b/>
          <w:i/>
          <w:sz w:val="20"/>
          <w:szCs w:val="20"/>
          <w:lang w:val="fr-FR"/>
        </w:rPr>
      </w:pPr>
    </w:p>
    <w:p w:rsidR="00A8552E" w:rsidRDefault="00A8552E" w:rsidP="00F33357">
      <w:pPr>
        <w:spacing w:after="0" w:line="240" w:lineRule="auto"/>
        <w:ind w:left="5761" w:hanging="5761"/>
        <w:rPr>
          <w:rFonts w:ascii="Arial" w:hAnsi="Arial" w:cs="Arial"/>
          <w:b/>
          <w:i/>
          <w:sz w:val="20"/>
          <w:szCs w:val="20"/>
          <w:lang w:val="fr-FR"/>
        </w:rPr>
      </w:pPr>
    </w:p>
    <w:p w:rsidR="00F33357" w:rsidRDefault="006700AB" w:rsidP="00F33357">
      <w:pPr>
        <w:spacing w:after="0" w:line="240" w:lineRule="auto"/>
        <w:ind w:left="5761" w:hanging="5761"/>
        <w:rPr>
          <w:rFonts w:ascii="Arial" w:hAnsi="Arial" w:cs="Arial"/>
          <w:b/>
          <w:i/>
          <w:sz w:val="20"/>
          <w:szCs w:val="20"/>
          <w:lang w:val="fr-FR"/>
        </w:rPr>
      </w:pPr>
      <w:r w:rsidRPr="00525738">
        <w:rPr>
          <w:rFonts w:ascii="Arial" w:hAnsi="Arial" w:cs="Arial"/>
          <w:b/>
          <w:i/>
          <w:sz w:val="20"/>
          <w:szCs w:val="20"/>
          <w:lang w:val="fr-FR"/>
        </w:rPr>
        <w:t xml:space="preserve">ESSER </w:t>
      </w:r>
      <w:proofErr w:type="spellStart"/>
      <w:r w:rsidR="00B13848" w:rsidRPr="00525738">
        <w:rPr>
          <w:rFonts w:ascii="Arial" w:hAnsi="Arial" w:cs="Arial"/>
          <w:b/>
          <w:i/>
          <w:sz w:val="20"/>
          <w:szCs w:val="20"/>
          <w:lang w:val="fr-FR"/>
        </w:rPr>
        <w:t>Brandmelder</w:t>
      </w:r>
      <w:proofErr w:type="spellEnd"/>
      <w:r w:rsidR="00B13848" w:rsidRPr="00525738">
        <w:rPr>
          <w:rFonts w:ascii="Arial" w:hAnsi="Arial" w:cs="Arial"/>
          <w:b/>
          <w:i/>
          <w:sz w:val="20"/>
          <w:szCs w:val="20"/>
          <w:lang w:val="fr-FR"/>
        </w:rPr>
        <w:t xml:space="preserve"> </w:t>
      </w:r>
      <w:proofErr w:type="spellStart"/>
      <w:r w:rsidR="00B13848" w:rsidRPr="00525738">
        <w:rPr>
          <w:rFonts w:ascii="Arial" w:hAnsi="Arial" w:cs="Arial"/>
          <w:b/>
          <w:i/>
          <w:sz w:val="20"/>
          <w:szCs w:val="20"/>
          <w:lang w:val="fr-FR"/>
        </w:rPr>
        <w:t>für</w:t>
      </w:r>
      <w:proofErr w:type="spellEnd"/>
      <w:r w:rsidR="00B13848" w:rsidRPr="00525738">
        <w:rPr>
          <w:rFonts w:ascii="Arial" w:hAnsi="Arial" w:cs="Arial"/>
          <w:b/>
          <w:i/>
          <w:sz w:val="20"/>
          <w:szCs w:val="20"/>
          <w:lang w:val="fr-FR"/>
        </w:rPr>
        <w:t xml:space="preserve"> die </w:t>
      </w:r>
      <w:proofErr w:type="spellStart"/>
      <w:r w:rsidR="00B13848" w:rsidRPr="00525738">
        <w:rPr>
          <w:rFonts w:ascii="Arial" w:hAnsi="Arial" w:cs="Arial"/>
          <w:b/>
          <w:i/>
          <w:sz w:val="20"/>
          <w:szCs w:val="20"/>
          <w:lang w:val="fr-FR"/>
        </w:rPr>
        <w:t>Verwendung</w:t>
      </w:r>
      <w:proofErr w:type="spellEnd"/>
      <w:r w:rsidR="00F33357">
        <w:rPr>
          <w:rFonts w:ascii="Arial" w:hAnsi="Arial" w:cs="Arial"/>
          <w:b/>
          <w:i/>
          <w:sz w:val="20"/>
          <w:szCs w:val="20"/>
          <w:lang w:val="fr-FR"/>
        </w:rPr>
        <w:tab/>
        <w:t>Ex-Handfeuermelder mit hohem</w:t>
      </w:r>
      <w:r w:rsidR="00F33357">
        <w:rPr>
          <w:rFonts w:ascii="Arial" w:hAnsi="Arial" w:cs="Arial"/>
          <w:b/>
          <w:i/>
          <w:sz w:val="20"/>
          <w:szCs w:val="20"/>
          <w:lang w:val="fr-FR"/>
        </w:rPr>
        <w:tab/>
      </w:r>
    </w:p>
    <w:p w:rsidR="003A1DB7" w:rsidRDefault="00B13848" w:rsidP="00F33357">
      <w:pPr>
        <w:spacing w:after="0" w:line="240" w:lineRule="auto"/>
        <w:ind w:left="5761" w:hanging="5761"/>
        <w:rPr>
          <w:rFonts w:ascii="Arial" w:hAnsi="Arial" w:cs="Arial"/>
          <w:b/>
          <w:i/>
          <w:sz w:val="20"/>
          <w:szCs w:val="20"/>
          <w:lang w:val="fr-FR"/>
        </w:rPr>
      </w:pPr>
      <w:r w:rsidRPr="00525738">
        <w:rPr>
          <w:rFonts w:ascii="Arial" w:hAnsi="Arial" w:cs="Arial"/>
          <w:b/>
          <w:i/>
          <w:sz w:val="20"/>
          <w:szCs w:val="20"/>
          <w:lang w:val="fr-FR"/>
        </w:rPr>
        <w:t>in Ex-Bereichen</w:t>
      </w:r>
      <w:r w:rsidR="00F33357">
        <w:rPr>
          <w:rFonts w:ascii="Arial" w:hAnsi="Arial" w:cs="Arial"/>
          <w:b/>
          <w:i/>
          <w:sz w:val="20"/>
          <w:szCs w:val="20"/>
          <w:lang w:val="fr-FR"/>
        </w:rPr>
        <w:tab/>
        <w:t>IP Schutz für die Verwendung</w:t>
      </w:r>
      <w:r w:rsidR="00F33357">
        <w:rPr>
          <w:rFonts w:ascii="Arial" w:hAnsi="Arial" w:cs="Arial"/>
          <w:b/>
          <w:i/>
          <w:sz w:val="20"/>
          <w:szCs w:val="20"/>
          <w:lang w:val="fr-FR"/>
        </w:rPr>
        <w:tab/>
      </w:r>
    </w:p>
    <w:p w:rsidR="00F33357" w:rsidRPr="00525738" w:rsidRDefault="00F33357" w:rsidP="00F33357">
      <w:pPr>
        <w:spacing w:after="0" w:line="240" w:lineRule="auto"/>
        <w:ind w:left="5761" w:hanging="5761"/>
        <w:rPr>
          <w:rFonts w:ascii="Arial" w:hAnsi="Arial" w:cs="Arial"/>
          <w:b/>
          <w:i/>
          <w:sz w:val="20"/>
          <w:szCs w:val="20"/>
          <w:lang w:val="fr-FR"/>
        </w:rPr>
      </w:pPr>
      <w:r>
        <w:rPr>
          <w:rFonts w:ascii="Arial" w:hAnsi="Arial" w:cs="Arial"/>
          <w:b/>
          <w:i/>
          <w:sz w:val="20"/>
          <w:szCs w:val="20"/>
          <w:lang w:val="fr-FR"/>
        </w:rPr>
        <w:tab/>
        <w:t>in feuchten Räumen</w:t>
      </w:r>
    </w:p>
    <w:p w:rsidR="00F33357" w:rsidRDefault="00F33357" w:rsidP="00F33357">
      <w:pPr>
        <w:spacing w:after="0" w:line="240" w:lineRule="auto"/>
        <w:ind w:left="5761" w:hanging="5761"/>
        <w:rPr>
          <w:rFonts w:ascii="Arial" w:hAnsi="Arial" w:cs="Arial"/>
          <w:b/>
          <w:i/>
          <w:sz w:val="20"/>
          <w:szCs w:val="20"/>
          <w:lang w:val="fr-FR"/>
        </w:rPr>
      </w:pPr>
    </w:p>
    <w:p w:rsidR="00A8552E" w:rsidRDefault="00A8552E" w:rsidP="00F33357">
      <w:pPr>
        <w:spacing w:after="0" w:line="240" w:lineRule="auto"/>
        <w:ind w:left="5761" w:hanging="5761"/>
        <w:rPr>
          <w:rFonts w:ascii="Arial" w:hAnsi="Arial" w:cs="Arial"/>
          <w:b/>
          <w:i/>
          <w:sz w:val="20"/>
          <w:szCs w:val="20"/>
          <w:lang w:val="fr-FR"/>
        </w:rPr>
      </w:pPr>
    </w:p>
    <w:p w:rsidR="00A8552E" w:rsidRDefault="00A8552E" w:rsidP="00F33357">
      <w:pPr>
        <w:spacing w:after="0" w:line="240" w:lineRule="auto"/>
        <w:ind w:left="5761" w:hanging="5761"/>
        <w:rPr>
          <w:rFonts w:ascii="Arial" w:hAnsi="Arial" w:cs="Arial"/>
          <w:b/>
          <w:i/>
          <w:sz w:val="20"/>
          <w:szCs w:val="20"/>
          <w:lang w:val="fr-FR"/>
        </w:rPr>
      </w:pPr>
    </w:p>
    <w:p w:rsidR="00F33357" w:rsidRDefault="00F33357" w:rsidP="00F33357">
      <w:pPr>
        <w:spacing w:after="0" w:line="240" w:lineRule="auto"/>
        <w:ind w:left="5761" w:hanging="5761"/>
        <w:rPr>
          <w:rFonts w:ascii="Arial" w:hAnsi="Arial" w:cs="Arial"/>
          <w:b/>
          <w:noProof/>
          <w:sz w:val="24"/>
          <w:szCs w:val="24"/>
          <w:lang w:val="de-DE" w:eastAsia="de-DE"/>
        </w:rPr>
      </w:pPr>
    </w:p>
    <w:p w:rsidR="003A1DB7" w:rsidRDefault="003A1DB7" w:rsidP="003A1DB7">
      <w:pPr>
        <w:jc w:val="both"/>
        <w:rPr>
          <w:noProof/>
          <w:lang w:val="de-DE" w:eastAsia="de-DE"/>
        </w:rPr>
      </w:pPr>
      <w:r w:rsidRPr="00376BF8">
        <w:rPr>
          <w:noProof/>
          <w:lang w:val="de-DE" w:eastAsia="de-DE"/>
        </w:rPr>
        <w:drawing>
          <wp:inline distT="0" distB="0" distL="0" distR="0" wp14:anchorId="3C040B56" wp14:editId="0233AF46">
            <wp:extent cx="5943600" cy="28575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857500"/>
                    </a:xfrm>
                    <a:prstGeom prst="rect">
                      <a:avLst/>
                    </a:prstGeom>
                    <a:noFill/>
                    <a:ln>
                      <a:noFill/>
                    </a:ln>
                  </pic:spPr>
                </pic:pic>
              </a:graphicData>
            </a:graphic>
          </wp:inline>
        </w:drawing>
      </w:r>
    </w:p>
    <w:p w:rsidR="0042030D" w:rsidRPr="00525738" w:rsidRDefault="0042030D" w:rsidP="0042030D">
      <w:pPr>
        <w:rPr>
          <w:rFonts w:ascii="Arial" w:hAnsi="Arial" w:cs="Arial"/>
          <w:b/>
          <w:i/>
          <w:sz w:val="20"/>
          <w:szCs w:val="20"/>
          <w:lang w:val="de-DE"/>
        </w:rPr>
      </w:pPr>
      <w:r w:rsidRPr="00525738">
        <w:rPr>
          <w:rFonts w:ascii="Arial" w:hAnsi="Arial" w:cs="Arial"/>
          <w:b/>
          <w:i/>
          <w:sz w:val="20"/>
          <w:szCs w:val="20"/>
          <w:lang w:val="de-DE"/>
        </w:rPr>
        <w:t>Für den Einsatz in Zone 1 und Zone 2 muss beim Betrieb der Melder mit Einzeladressierung die busfähige Ex-Barriere verwendet werden. Diese trennt eigensichere und nicht eigensichere Stromkreise vor dem zu überwachenden explosionsgefährdeten Bereich</w:t>
      </w:r>
    </w:p>
    <w:p w:rsidR="003A1DB7" w:rsidRPr="00525738" w:rsidRDefault="00DF6929" w:rsidP="003A1DB7">
      <w:pPr>
        <w:jc w:val="both"/>
        <w:rPr>
          <w:rFonts w:ascii="Arial" w:hAnsi="Arial" w:cs="Arial"/>
          <w:b/>
          <w:i/>
          <w:noProof/>
          <w:sz w:val="20"/>
          <w:szCs w:val="20"/>
          <w:lang w:val="de-DE" w:eastAsia="de-DE"/>
        </w:rPr>
      </w:pPr>
      <w:r>
        <w:rPr>
          <w:rFonts w:ascii="Arial" w:hAnsi="Arial" w:cs="Arial"/>
          <w:b/>
          <w:i/>
          <w:noProof/>
          <w:sz w:val="20"/>
          <w:szCs w:val="20"/>
          <w:lang w:val="de-DE" w:eastAsia="de-DE"/>
        </w:rPr>
        <w:t>Obere Abbi</w:t>
      </w:r>
      <w:r w:rsidR="003A1DB7" w:rsidRPr="00525738">
        <w:rPr>
          <w:rFonts w:ascii="Arial" w:hAnsi="Arial" w:cs="Arial"/>
          <w:b/>
          <w:i/>
          <w:noProof/>
          <w:sz w:val="20"/>
          <w:szCs w:val="20"/>
          <w:lang w:val="de-DE" w:eastAsia="de-DE"/>
        </w:rPr>
        <w:t xml:space="preserve">ldung: Betrieb mit </w:t>
      </w:r>
      <w:r w:rsidR="003A1DB7" w:rsidRPr="00525738">
        <w:rPr>
          <w:rFonts w:ascii="Arial" w:hAnsi="Arial" w:cs="Arial"/>
          <w:b/>
          <w:i/>
          <w:noProof/>
          <w:sz w:val="20"/>
          <w:szCs w:val="20"/>
          <w:u w:val="single"/>
          <w:lang w:val="de-DE" w:eastAsia="de-DE"/>
        </w:rPr>
        <w:t>Einzeladressierung</w:t>
      </w:r>
      <w:r w:rsidR="003A1DB7" w:rsidRPr="00525738">
        <w:rPr>
          <w:rFonts w:ascii="Arial" w:hAnsi="Arial" w:cs="Arial"/>
          <w:b/>
          <w:i/>
          <w:noProof/>
          <w:sz w:val="20"/>
          <w:szCs w:val="20"/>
          <w:lang w:val="de-DE" w:eastAsia="de-DE"/>
        </w:rPr>
        <w:t xml:space="preserve"> über Ex-Barriere </w:t>
      </w:r>
    </w:p>
    <w:p w:rsidR="003A1DB7" w:rsidRPr="00525738" w:rsidRDefault="003A1DB7" w:rsidP="003A1DB7">
      <w:pPr>
        <w:jc w:val="both"/>
        <w:rPr>
          <w:rFonts w:ascii="Arial" w:eastAsia="Times New Roman" w:hAnsi="Arial" w:cs="Arial"/>
          <w:b/>
          <w:i/>
          <w:sz w:val="20"/>
          <w:szCs w:val="20"/>
          <w:lang w:val="de-DE"/>
        </w:rPr>
      </w:pPr>
      <w:r w:rsidRPr="00525738">
        <w:rPr>
          <w:rFonts w:ascii="Arial" w:hAnsi="Arial" w:cs="Arial"/>
          <w:b/>
          <w:i/>
          <w:noProof/>
          <w:sz w:val="20"/>
          <w:szCs w:val="20"/>
          <w:lang w:val="de-DE" w:eastAsia="de-DE"/>
        </w:rPr>
        <w:t xml:space="preserve">Untere Abbildung: Betrieb an </w:t>
      </w:r>
      <w:r w:rsidRPr="00525738">
        <w:rPr>
          <w:rFonts w:ascii="Arial" w:hAnsi="Arial" w:cs="Arial"/>
          <w:b/>
          <w:i/>
          <w:noProof/>
          <w:sz w:val="20"/>
          <w:szCs w:val="20"/>
          <w:u w:val="single"/>
          <w:lang w:val="de-DE" w:eastAsia="de-DE"/>
        </w:rPr>
        <w:t xml:space="preserve">Standardgruppen </w:t>
      </w:r>
      <w:r w:rsidRPr="00525738">
        <w:rPr>
          <w:rFonts w:ascii="Arial" w:hAnsi="Arial" w:cs="Arial"/>
          <w:b/>
          <w:i/>
          <w:noProof/>
          <w:sz w:val="20"/>
          <w:szCs w:val="20"/>
          <w:lang w:val="de-DE" w:eastAsia="de-DE"/>
        </w:rPr>
        <w:t>über Ex-Barriere</w:t>
      </w:r>
    </w:p>
    <w:p w:rsidR="00A8552E" w:rsidRDefault="00A8552E">
      <w:pPr>
        <w:rPr>
          <w:rFonts w:ascii="Arial" w:hAnsi="Arial"/>
          <w:b/>
          <w:sz w:val="20"/>
          <w:lang w:val="de-DE"/>
        </w:rPr>
      </w:pPr>
      <w:r>
        <w:rPr>
          <w:rFonts w:ascii="Arial" w:hAnsi="Arial"/>
          <w:b/>
          <w:sz w:val="20"/>
          <w:lang w:val="de-DE"/>
        </w:rPr>
        <w:br w:type="page"/>
      </w:r>
    </w:p>
    <w:p w:rsidR="00525738" w:rsidRPr="00880F13" w:rsidRDefault="00525738" w:rsidP="00525738">
      <w:pPr>
        <w:tabs>
          <w:tab w:val="left" w:pos="142"/>
        </w:tabs>
        <w:autoSpaceDE w:val="0"/>
        <w:autoSpaceDN w:val="0"/>
        <w:adjustRightInd w:val="0"/>
        <w:rPr>
          <w:rFonts w:ascii="Arial" w:hAnsi="Arial"/>
          <w:sz w:val="20"/>
          <w:lang w:val="de-DE"/>
        </w:rPr>
      </w:pPr>
      <w:r w:rsidRPr="00880F13">
        <w:rPr>
          <w:rFonts w:ascii="Arial" w:hAnsi="Arial"/>
          <w:b/>
          <w:sz w:val="20"/>
          <w:lang w:val="de-DE"/>
        </w:rPr>
        <w:lastRenderedPageBreak/>
        <w:t>Hinweis</w:t>
      </w:r>
      <w:r w:rsidRPr="00880F13">
        <w:rPr>
          <w:rFonts w:ascii="Arial" w:hAnsi="Arial"/>
          <w:b/>
          <w:lang w:val="de-DE"/>
        </w:rPr>
        <w:t xml:space="preserve">: </w:t>
      </w:r>
      <w:r w:rsidRPr="00880F13">
        <w:rPr>
          <w:rFonts w:ascii="Arial" w:hAnsi="Arial"/>
          <w:sz w:val="20"/>
          <w:lang w:val="de-DE"/>
        </w:rPr>
        <w:t xml:space="preserve">Die Textdaten und Feindaten können unter </w:t>
      </w:r>
      <w:hyperlink r:id="rId11" w:history="1">
        <w:r w:rsidRPr="00880F13">
          <w:rPr>
            <w:rStyle w:val="Hyperlink"/>
            <w:rFonts w:ascii="Arial" w:hAnsi="Arial"/>
            <w:sz w:val="20"/>
            <w:lang w:val="de-DE"/>
          </w:rPr>
          <w:t>www.esser-systems.com</w:t>
        </w:r>
      </w:hyperlink>
      <w:r w:rsidRPr="00880F13">
        <w:rPr>
          <w:rFonts w:ascii="Arial" w:hAnsi="Arial"/>
          <w:sz w:val="20"/>
          <w:lang w:val="de-DE"/>
        </w:rPr>
        <w:t xml:space="preserve"> im Bereich Service / Presse, unter dem Stichwort „Pressemitteilungen“, heruntergeladen werden. </w:t>
      </w:r>
    </w:p>
    <w:p w:rsidR="00A8552E" w:rsidRDefault="00A8552E" w:rsidP="0048024C">
      <w:pPr>
        <w:autoSpaceDE w:val="0"/>
        <w:autoSpaceDN w:val="0"/>
        <w:adjustRightInd w:val="0"/>
        <w:spacing w:after="0" w:line="240" w:lineRule="auto"/>
        <w:ind w:right="288"/>
        <w:jc w:val="both"/>
        <w:rPr>
          <w:rFonts w:ascii="Arial" w:hAnsi="Arial" w:cs="Arial"/>
          <w:color w:val="000000"/>
          <w:sz w:val="18"/>
          <w:szCs w:val="18"/>
          <w:lang w:val="de-DE"/>
        </w:rPr>
      </w:pPr>
    </w:p>
    <w:p w:rsidR="00A8552E" w:rsidRDefault="00A8552E" w:rsidP="0048024C">
      <w:pPr>
        <w:autoSpaceDE w:val="0"/>
        <w:autoSpaceDN w:val="0"/>
        <w:adjustRightInd w:val="0"/>
        <w:spacing w:after="0" w:line="240" w:lineRule="auto"/>
        <w:ind w:right="288"/>
        <w:jc w:val="both"/>
        <w:rPr>
          <w:rFonts w:ascii="Arial" w:hAnsi="Arial" w:cs="Arial"/>
          <w:color w:val="000000"/>
          <w:sz w:val="18"/>
          <w:szCs w:val="18"/>
          <w:lang w:val="de-DE"/>
        </w:rPr>
      </w:pPr>
    </w:p>
    <w:p w:rsidR="00A8552E" w:rsidRDefault="00A8552E" w:rsidP="0048024C">
      <w:pPr>
        <w:autoSpaceDE w:val="0"/>
        <w:autoSpaceDN w:val="0"/>
        <w:adjustRightInd w:val="0"/>
        <w:spacing w:after="0" w:line="240" w:lineRule="auto"/>
        <w:ind w:right="288"/>
        <w:jc w:val="both"/>
        <w:rPr>
          <w:rFonts w:ascii="Arial" w:hAnsi="Arial" w:cs="Arial"/>
          <w:color w:val="000000"/>
          <w:sz w:val="18"/>
          <w:szCs w:val="18"/>
          <w:lang w:val="de-DE"/>
        </w:rPr>
      </w:pPr>
    </w:p>
    <w:p w:rsidR="00F74EFA" w:rsidRPr="00C472B8" w:rsidRDefault="00681937" w:rsidP="0048024C">
      <w:pPr>
        <w:autoSpaceDE w:val="0"/>
        <w:autoSpaceDN w:val="0"/>
        <w:adjustRightInd w:val="0"/>
        <w:spacing w:after="0" w:line="240" w:lineRule="auto"/>
        <w:ind w:right="288"/>
        <w:jc w:val="both"/>
        <w:rPr>
          <w:rFonts w:ascii="Arial" w:hAnsi="Arial" w:cs="Arial"/>
          <w:color w:val="000000"/>
          <w:sz w:val="18"/>
          <w:szCs w:val="18"/>
          <w:lang w:val="de-DE"/>
        </w:rPr>
      </w:pPr>
      <w:r w:rsidRPr="00F74EFA">
        <w:rPr>
          <w:rFonts w:ascii="Arial" w:hAnsi="Arial" w:cs="Arial"/>
          <w:color w:val="000000"/>
          <w:sz w:val="18"/>
          <w:szCs w:val="18"/>
          <w:lang w:val="de-DE"/>
        </w:rPr>
        <w:t>Honeywell (</w:t>
      </w:r>
      <w:hyperlink r:id="rId12" w:tooltip="http://www.honeywell.com/" w:history="1">
        <w:r w:rsidRPr="00F74EFA">
          <w:rPr>
            <w:rFonts w:ascii="Arial" w:hAnsi="Arial" w:cs="Arial"/>
            <w:color w:val="000000"/>
            <w:sz w:val="18"/>
            <w:szCs w:val="18"/>
            <w:lang w:val="de-DE"/>
          </w:rPr>
          <w:t>www.honeywell.com</w:t>
        </w:r>
      </w:hyperlink>
      <w:r w:rsidRPr="00F74EFA">
        <w:rPr>
          <w:rFonts w:ascii="Arial" w:hAnsi="Arial" w:cs="Arial"/>
          <w:color w:val="000000"/>
          <w:sz w:val="18"/>
          <w:szCs w:val="18"/>
          <w:lang w:val="de-DE"/>
        </w:rPr>
        <w:t xml:space="preserve">) ist ein </w:t>
      </w:r>
      <w:r w:rsidR="00F74EFA">
        <w:rPr>
          <w:rFonts w:ascii="Arial" w:hAnsi="Arial" w:cs="Arial"/>
          <w:color w:val="000000"/>
          <w:sz w:val="18"/>
          <w:szCs w:val="18"/>
          <w:lang w:val="de-DE"/>
        </w:rPr>
        <w:t xml:space="preserve">führendes </w:t>
      </w:r>
      <w:r w:rsidRPr="00F74EFA">
        <w:rPr>
          <w:rFonts w:ascii="Arial" w:hAnsi="Arial" w:cs="Arial"/>
          <w:color w:val="000000"/>
          <w:sz w:val="18"/>
          <w:szCs w:val="18"/>
          <w:lang w:val="de-DE"/>
        </w:rPr>
        <w:t>Fortune 100-</w:t>
      </w:r>
      <w:r w:rsidR="00F74EFA">
        <w:rPr>
          <w:rFonts w:ascii="Arial" w:hAnsi="Arial" w:cs="Arial"/>
          <w:color w:val="000000"/>
          <w:sz w:val="18"/>
          <w:szCs w:val="18"/>
          <w:lang w:val="de-DE"/>
        </w:rPr>
        <w:t>Unternehmen</w:t>
      </w:r>
      <w:r w:rsidRPr="00F74EFA">
        <w:rPr>
          <w:rFonts w:ascii="Arial" w:hAnsi="Arial" w:cs="Arial"/>
          <w:color w:val="000000"/>
          <w:sz w:val="18"/>
          <w:szCs w:val="18"/>
          <w:lang w:val="de-DE"/>
        </w:rPr>
        <w:t>, d</w:t>
      </w:r>
      <w:r w:rsidR="00F74EFA">
        <w:rPr>
          <w:rFonts w:ascii="Arial" w:hAnsi="Arial" w:cs="Arial"/>
          <w:color w:val="000000"/>
          <w:sz w:val="18"/>
          <w:szCs w:val="18"/>
          <w:lang w:val="de-DE"/>
        </w:rPr>
        <w:t>as</w:t>
      </w:r>
      <w:r w:rsidRPr="00F74EFA">
        <w:rPr>
          <w:rFonts w:ascii="Arial" w:hAnsi="Arial" w:cs="Arial"/>
          <w:color w:val="000000"/>
          <w:sz w:val="18"/>
          <w:szCs w:val="18"/>
          <w:lang w:val="de-DE"/>
        </w:rPr>
        <w:t xml:space="preserve"> </w:t>
      </w:r>
      <w:r w:rsidR="00F74EFA">
        <w:rPr>
          <w:rFonts w:ascii="Arial" w:hAnsi="Arial" w:cs="Arial"/>
          <w:color w:val="000000"/>
          <w:sz w:val="18"/>
          <w:szCs w:val="18"/>
          <w:lang w:val="de-DE"/>
        </w:rPr>
        <w:t xml:space="preserve">mit seinem diversifizierten </w:t>
      </w:r>
      <w:r w:rsidR="00D520A7">
        <w:rPr>
          <w:rFonts w:ascii="Arial" w:hAnsi="Arial" w:cs="Arial"/>
          <w:color w:val="000000"/>
          <w:sz w:val="18"/>
          <w:szCs w:val="18"/>
          <w:lang w:val="de-DE"/>
        </w:rPr>
        <w:t>P</w:t>
      </w:r>
      <w:r w:rsidR="00F74EFA">
        <w:rPr>
          <w:rFonts w:ascii="Arial" w:hAnsi="Arial" w:cs="Arial"/>
          <w:color w:val="000000"/>
          <w:sz w:val="18"/>
          <w:szCs w:val="18"/>
          <w:lang w:val="de-DE"/>
        </w:rPr>
        <w:t xml:space="preserve">ortfolio für die Bereiche </w:t>
      </w:r>
      <w:r w:rsidRPr="00F74EFA">
        <w:rPr>
          <w:rFonts w:ascii="Arial" w:hAnsi="Arial" w:cs="Arial"/>
          <w:color w:val="000000"/>
          <w:sz w:val="18"/>
          <w:szCs w:val="18"/>
          <w:lang w:val="de-DE"/>
        </w:rPr>
        <w:t xml:space="preserve">Technologie und </w:t>
      </w:r>
      <w:r w:rsidR="00F74EFA">
        <w:rPr>
          <w:rFonts w:ascii="Arial" w:hAnsi="Arial" w:cs="Arial"/>
          <w:color w:val="000000"/>
          <w:sz w:val="18"/>
          <w:szCs w:val="18"/>
          <w:lang w:val="de-DE"/>
        </w:rPr>
        <w:t>Fertigung weltweit</w:t>
      </w:r>
      <w:r w:rsidRPr="00F74EFA">
        <w:rPr>
          <w:rFonts w:ascii="Arial" w:hAnsi="Arial" w:cs="Arial"/>
          <w:color w:val="000000"/>
          <w:sz w:val="18"/>
          <w:szCs w:val="18"/>
          <w:lang w:val="de-DE"/>
        </w:rPr>
        <w:t xml:space="preserve"> Kunden </w:t>
      </w:r>
      <w:r w:rsidR="00F74EFA" w:rsidRPr="00F74EFA">
        <w:rPr>
          <w:rFonts w:ascii="Arial" w:hAnsi="Arial" w:cs="Arial"/>
          <w:color w:val="000000"/>
          <w:sz w:val="18"/>
          <w:szCs w:val="18"/>
          <w:lang w:val="de-DE"/>
        </w:rPr>
        <w:t>beliefert</w:t>
      </w:r>
      <w:r w:rsidR="00F74EFA">
        <w:rPr>
          <w:rFonts w:ascii="Arial" w:hAnsi="Arial" w:cs="Arial"/>
          <w:color w:val="000000"/>
          <w:sz w:val="18"/>
          <w:szCs w:val="18"/>
          <w:lang w:val="de-DE"/>
        </w:rPr>
        <w:t xml:space="preserve">. </w:t>
      </w:r>
      <w:r w:rsidR="00D520A7">
        <w:rPr>
          <w:rFonts w:ascii="Arial" w:hAnsi="Arial" w:cs="Arial"/>
          <w:color w:val="000000"/>
          <w:sz w:val="18"/>
          <w:szCs w:val="18"/>
          <w:lang w:val="de-DE"/>
        </w:rPr>
        <w:t xml:space="preserve">Zum Portfolio zählen </w:t>
      </w:r>
      <w:r w:rsidRPr="00F74EFA">
        <w:rPr>
          <w:rFonts w:ascii="Arial" w:hAnsi="Arial" w:cs="Arial"/>
          <w:color w:val="000000"/>
          <w:sz w:val="18"/>
          <w:szCs w:val="18"/>
          <w:lang w:val="de-DE"/>
        </w:rPr>
        <w:t xml:space="preserve">Luftfahrtprodukte und -dienstleistungen, </w:t>
      </w:r>
      <w:r w:rsidR="00D520A7">
        <w:rPr>
          <w:rFonts w:ascii="Arial" w:hAnsi="Arial" w:cs="Arial"/>
          <w:color w:val="000000"/>
          <w:sz w:val="18"/>
          <w:szCs w:val="18"/>
          <w:lang w:val="de-DE"/>
        </w:rPr>
        <w:t xml:space="preserve">Technologien für die </w:t>
      </w:r>
      <w:r w:rsidRPr="00F74EFA">
        <w:rPr>
          <w:rFonts w:ascii="Arial" w:hAnsi="Arial" w:cs="Arial"/>
          <w:color w:val="000000"/>
          <w:sz w:val="18"/>
          <w:szCs w:val="18"/>
          <w:lang w:val="de-DE"/>
        </w:rPr>
        <w:t>Gebäude</w:t>
      </w:r>
      <w:r w:rsidR="00D520A7">
        <w:rPr>
          <w:rFonts w:ascii="Arial" w:hAnsi="Arial" w:cs="Arial"/>
          <w:color w:val="000000"/>
          <w:sz w:val="18"/>
          <w:szCs w:val="18"/>
          <w:lang w:val="de-DE"/>
        </w:rPr>
        <w:t>technik</w:t>
      </w:r>
      <w:r w:rsidRPr="00F74EFA">
        <w:rPr>
          <w:rFonts w:ascii="Arial" w:hAnsi="Arial" w:cs="Arial"/>
          <w:color w:val="000000"/>
          <w:sz w:val="18"/>
          <w:szCs w:val="18"/>
          <w:lang w:val="de-DE"/>
        </w:rPr>
        <w:t xml:space="preserve"> (privat und kommerziell), Produkte für die Automobilindustrie, Turbolade</w:t>
      </w:r>
      <w:r w:rsidR="00D520A7">
        <w:rPr>
          <w:rFonts w:ascii="Arial" w:hAnsi="Arial" w:cs="Arial"/>
          <w:color w:val="000000"/>
          <w:sz w:val="18"/>
          <w:szCs w:val="18"/>
          <w:lang w:val="de-DE"/>
        </w:rPr>
        <w:t xml:space="preserve">r </w:t>
      </w:r>
      <w:r w:rsidRPr="00F74EFA">
        <w:rPr>
          <w:rFonts w:ascii="Arial" w:hAnsi="Arial" w:cs="Arial"/>
          <w:color w:val="000000"/>
          <w:sz w:val="18"/>
          <w:szCs w:val="18"/>
          <w:lang w:val="de-DE"/>
        </w:rPr>
        <w:t>sowie Spezialmaterialien.</w:t>
      </w:r>
      <w:r w:rsidR="0048024C">
        <w:rPr>
          <w:rFonts w:ascii="Arial" w:hAnsi="Arial" w:cs="Arial"/>
          <w:color w:val="000000"/>
          <w:sz w:val="18"/>
          <w:szCs w:val="18"/>
          <w:lang w:val="de-DE"/>
        </w:rPr>
        <w:t xml:space="preserve"> </w:t>
      </w:r>
      <w:r w:rsidRPr="00C472B8">
        <w:rPr>
          <w:rFonts w:ascii="Arial" w:hAnsi="Arial" w:cs="Arial"/>
          <w:color w:val="000000"/>
          <w:sz w:val="18"/>
          <w:szCs w:val="18"/>
          <w:lang w:val="de-DE"/>
        </w:rPr>
        <w:t xml:space="preserve">Weitere Informationen finden Sie unter </w:t>
      </w:r>
      <w:hyperlink r:id="rId13" w:history="1">
        <w:r w:rsidR="0048024C" w:rsidRPr="00C472B8">
          <w:rPr>
            <w:rStyle w:val="Hyperlink"/>
            <w:rFonts w:ascii="Arial" w:hAnsi="Arial" w:cs="Arial"/>
            <w:sz w:val="18"/>
            <w:szCs w:val="18"/>
            <w:lang w:val="de-DE"/>
          </w:rPr>
          <w:t>www.honeywell.com/newsroom</w:t>
        </w:r>
      </w:hyperlink>
      <w:r w:rsidR="0048024C" w:rsidRPr="00C472B8">
        <w:rPr>
          <w:rFonts w:ascii="Arial" w:hAnsi="Arial" w:cs="Arial"/>
          <w:color w:val="000000"/>
          <w:sz w:val="18"/>
          <w:szCs w:val="18"/>
          <w:lang w:val="de-DE"/>
        </w:rPr>
        <w:t>.</w:t>
      </w:r>
    </w:p>
    <w:p w:rsidR="0048024C" w:rsidRPr="00C472B8" w:rsidRDefault="0048024C" w:rsidP="0048024C">
      <w:pPr>
        <w:autoSpaceDE w:val="0"/>
        <w:autoSpaceDN w:val="0"/>
        <w:adjustRightInd w:val="0"/>
        <w:spacing w:after="0" w:line="240" w:lineRule="auto"/>
        <w:ind w:right="288"/>
        <w:jc w:val="both"/>
        <w:rPr>
          <w:rFonts w:ascii="Arial" w:hAnsi="Arial" w:cs="Arial"/>
          <w:color w:val="000000"/>
          <w:sz w:val="18"/>
          <w:szCs w:val="18"/>
          <w:lang w:val="de-DE"/>
        </w:rPr>
      </w:pPr>
    </w:p>
    <w:p w:rsidR="0048024C" w:rsidRPr="00C472B8" w:rsidRDefault="00681937" w:rsidP="00525738">
      <w:pPr>
        <w:autoSpaceDE w:val="0"/>
        <w:autoSpaceDN w:val="0"/>
        <w:adjustRightInd w:val="0"/>
        <w:spacing w:after="0" w:line="240" w:lineRule="auto"/>
        <w:ind w:right="288"/>
        <w:jc w:val="both"/>
        <w:rPr>
          <w:rFonts w:ascii="Arial" w:hAnsi="Arial" w:cs="Arial"/>
          <w:i/>
          <w:color w:val="000000"/>
          <w:sz w:val="16"/>
          <w:szCs w:val="18"/>
          <w:lang w:val="de-DE"/>
        </w:rPr>
      </w:pPr>
      <w:r w:rsidRPr="00F74EFA">
        <w:rPr>
          <w:rFonts w:ascii="Arial" w:hAnsi="Arial" w:cs="Arial"/>
          <w:i/>
          <w:color w:val="000000"/>
          <w:sz w:val="16"/>
          <w:szCs w:val="18"/>
          <w:lang w:val="de-DE"/>
        </w:rPr>
        <w:t xml:space="preserve">Diese Veröffentlichung enthält vorausschauende Aussagen gemäß der Definition in Abschnitt 21E des Securities Exchange Act (Wertpapierbörsengesetz) von 1934, einschließlich Informationen zu zukünftigen Geschäftsprozessen, Finanzergebnissen und Marktbedingungen. </w:t>
      </w:r>
      <w:r w:rsidRPr="00C472B8">
        <w:rPr>
          <w:rFonts w:ascii="Arial" w:hAnsi="Arial" w:cs="Arial"/>
          <w:i/>
          <w:color w:val="000000"/>
          <w:sz w:val="16"/>
          <w:szCs w:val="18"/>
          <w:lang w:val="de-DE"/>
        </w:rPr>
        <w:t>Solche vorausschauenden Aussagen enthalten die für Geschäftsprognosen üblichen Risiken und Ungewissheiten wie in den Unterlagen gemäß des Securities Exchange Acts näher beschrieben.</w:t>
      </w:r>
    </w:p>
    <w:p w:rsidR="003D4C92" w:rsidRPr="00C472B8" w:rsidRDefault="003D4C92" w:rsidP="005F0D52">
      <w:pPr>
        <w:ind w:right="288"/>
        <w:jc w:val="center"/>
        <w:rPr>
          <w:rFonts w:ascii="Arial" w:hAnsi="Arial" w:cs="Arial"/>
          <w:color w:val="000000"/>
          <w:sz w:val="18"/>
          <w:szCs w:val="18"/>
          <w:lang w:val="de-DE"/>
        </w:rPr>
      </w:pPr>
    </w:p>
    <w:p w:rsidR="00161780" w:rsidRPr="00C60A19" w:rsidRDefault="003D4C92" w:rsidP="005F0D52">
      <w:pPr>
        <w:ind w:right="288"/>
        <w:jc w:val="center"/>
        <w:rPr>
          <w:rFonts w:ascii="Arial" w:hAnsi="Arial" w:cs="Arial"/>
          <w:color w:val="000000"/>
          <w:sz w:val="18"/>
          <w:szCs w:val="18"/>
        </w:rPr>
      </w:pPr>
      <w:r>
        <w:rPr>
          <w:rFonts w:ascii="Arial" w:hAnsi="Arial" w:cs="Arial"/>
          <w:color w:val="000000"/>
          <w:sz w:val="18"/>
          <w:szCs w:val="18"/>
        </w:rPr>
        <w:t>###</w:t>
      </w:r>
    </w:p>
    <w:sectPr w:rsidR="00161780" w:rsidRPr="00C60A19" w:rsidSect="003A6857">
      <w:headerReference w:type="first" r:id="rId14"/>
      <w:pgSz w:w="12240" w:h="15840"/>
      <w:pgMar w:top="2610" w:right="1440" w:bottom="878" w:left="1440" w:header="1771"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1962" w:rsidRDefault="00711962" w:rsidP="00BF0DE0">
      <w:pPr>
        <w:spacing w:after="0" w:line="240" w:lineRule="auto"/>
      </w:pPr>
      <w:r>
        <w:separator/>
      </w:r>
    </w:p>
  </w:endnote>
  <w:endnote w:type="continuationSeparator" w:id="0">
    <w:p w:rsidR="00711962" w:rsidRDefault="00711962" w:rsidP="00BF0D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1962" w:rsidRDefault="00711962" w:rsidP="00BF0DE0">
      <w:pPr>
        <w:spacing w:after="0" w:line="240" w:lineRule="auto"/>
      </w:pPr>
      <w:r>
        <w:separator/>
      </w:r>
    </w:p>
  </w:footnote>
  <w:footnote w:type="continuationSeparator" w:id="0">
    <w:p w:rsidR="00711962" w:rsidRDefault="00711962" w:rsidP="00BF0D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857" w:rsidRDefault="003A6857">
    <w:pPr>
      <w:pStyle w:val="Kopfzeile"/>
    </w:pPr>
    <w:r w:rsidRPr="003A6857">
      <w:rPr>
        <w:noProof/>
        <w:lang w:val="de-DE" w:eastAsia="de-DE"/>
      </w:rPr>
      <w:drawing>
        <wp:anchor distT="0" distB="0" distL="114300" distR="114300" simplePos="0" relativeHeight="251659264" behindDoc="1" locked="1" layoutInCell="1" allowOverlap="1">
          <wp:simplePos x="0" y="0"/>
          <wp:positionH relativeFrom="page">
            <wp:align>center</wp:align>
          </wp:positionH>
          <wp:positionV relativeFrom="page">
            <wp:posOffset>0</wp:posOffset>
          </wp:positionV>
          <wp:extent cx="7772400" cy="1828800"/>
          <wp:effectExtent l="0" t="0" r="0" b="0"/>
          <wp:wrapNone/>
          <wp:docPr id="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8288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6823BF4"/>
    <w:multiLevelType w:val="hybridMultilevel"/>
    <w:tmpl w:val="1EF64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DE0"/>
    <w:rsid w:val="000002F0"/>
    <w:rsid w:val="0001414B"/>
    <w:rsid w:val="00021642"/>
    <w:rsid w:val="00021A06"/>
    <w:rsid w:val="00025843"/>
    <w:rsid w:val="00034252"/>
    <w:rsid w:val="00035831"/>
    <w:rsid w:val="000540DD"/>
    <w:rsid w:val="0005571C"/>
    <w:rsid w:val="00073421"/>
    <w:rsid w:val="000754D3"/>
    <w:rsid w:val="0008332C"/>
    <w:rsid w:val="0009084A"/>
    <w:rsid w:val="00092B02"/>
    <w:rsid w:val="00093212"/>
    <w:rsid w:val="00096236"/>
    <w:rsid w:val="000A0340"/>
    <w:rsid w:val="000A1415"/>
    <w:rsid w:val="000A3350"/>
    <w:rsid w:val="000A4CE0"/>
    <w:rsid w:val="000A6C59"/>
    <w:rsid w:val="000B726E"/>
    <w:rsid w:val="000B7B20"/>
    <w:rsid w:val="000C49DE"/>
    <w:rsid w:val="000D79C1"/>
    <w:rsid w:val="000E6B76"/>
    <w:rsid w:val="000E7AC6"/>
    <w:rsid w:val="000F4BCF"/>
    <w:rsid w:val="00103631"/>
    <w:rsid w:val="001041B0"/>
    <w:rsid w:val="00106A3F"/>
    <w:rsid w:val="001320CA"/>
    <w:rsid w:val="00135DFB"/>
    <w:rsid w:val="001379B7"/>
    <w:rsid w:val="0014517A"/>
    <w:rsid w:val="001616A5"/>
    <w:rsid w:val="00161780"/>
    <w:rsid w:val="001622C9"/>
    <w:rsid w:val="0016663C"/>
    <w:rsid w:val="00175571"/>
    <w:rsid w:val="001851BC"/>
    <w:rsid w:val="00190B45"/>
    <w:rsid w:val="00194818"/>
    <w:rsid w:val="001A7D39"/>
    <w:rsid w:val="001B166B"/>
    <w:rsid w:val="001E36A1"/>
    <w:rsid w:val="001E78AB"/>
    <w:rsid w:val="00203D11"/>
    <w:rsid w:val="0020414E"/>
    <w:rsid w:val="00211029"/>
    <w:rsid w:val="00212B61"/>
    <w:rsid w:val="00217A6F"/>
    <w:rsid w:val="002210FE"/>
    <w:rsid w:val="00221E9A"/>
    <w:rsid w:val="00222036"/>
    <w:rsid w:val="002364E7"/>
    <w:rsid w:val="0024456C"/>
    <w:rsid w:val="00244CCA"/>
    <w:rsid w:val="00245177"/>
    <w:rsid w:val="00247E96"/>
    <w:rsid w:val="00247E9E"/>
    <w:rsid w:val="00257CA9"/>
    <w:rsid w:val="002639C0"/>
    <w:rsid w:val="0027071B"/>
    <w:rsid w:val="00280714"/>
    <w:rsid w:val="002816BF"/>
    <w:rsid w:val="002974F3"/>
    <w:rsid w:val="002A44D5"/>
    <w:rsid w:val="002A6665"/>
    <w:rsid w:val="002C4C2D"/>
    <w:rsid w:val="002D5DC8"/>
    <w:rsid w:val="002E72DF"/>
    <w:rsid w:val="002F1445"/>
    <w:rsid w:val="00306D2E"/>
    <w:rsid w:val="00315F57"/>
    <w:rsid w:val="00330663"/>
    <w:rsid w:val="00332CB6"/>
    <w:rsid w:val="003450B5"/>
    <w:rsid w:val="0036693F"/>
    <w:rsid w:val="003839DE"/>
    <w:rsid w:val="00384EE8"/>
    <w:rsid w:val="00385E4D"/>
    <w:rsid w:val="003A1DB7"/>
    <w:rsid w:val="003A2423"/>
    <w:rsid w:val="003A6857"/>
    <w:rsid w:val="003B6738"/>
    <w:rsid w:val="003C2A8A"/>
    <w:rsid w:val="003D4C92"/>
    <w:rsid w:val="003D5D4F"/>
    <w:rsid w:val="003D6337"/>
    <w:rsid w:val="00401DFC"/>
    <w:rsid w:val="00404D8F"/>
    <w:rsid w:val="00404DE7"/>
    <w:rsid w:val="004177B1"/>
    <w:rsid w:val="0042030D"/>
    <w:rsid w:val="00430946"/>
    <w:rsid w:val="00431CEC"/>
    <w:rsid w:val="004356EE"/>
    <w:rsid w:val="00437B76"/>
    <w:rsid w:val="00442ED9"/>
    <w:rsid w:val="00450754"/>
    <w:rsid w:val="0045500F"/>
    <w:rsid w:val="00460BE7"/>
    <w:rsid w:val="0047020D"/>
    <w:rsid w:val="004734A0"/>
    <w:rsid w:val="00476D2C"/>
    <w:rsid w:val="0048024C"/>
    <w:rsid w:val="004A5FEF"/>
    <w:rsid w:val="004B368A"/>
    <w:rsid w:val="004C3FB0"/>
    <w:rsid w:val="004C4EBA"/>
    <w:rsid w:val="004D3EE3"/>
    <w:rsid w:val="004D6F9B"/>
    <w:rsid w:val="004E1F56"/>
    <w:rsid w:val="004E4E22"/>
    <w:rsid w:val="004E5A30"/>
    <w:rsid w:val="00511A78"/>
    <w:rsid w:val="00511CDF"/>
    <w:rsid w:val="005137A1"/>
    <w:rsid w:val="005158D6"/>
    <w:rsid w:val="00517633"/>
    <w:rsid w:val="00525738"/>
    <w:rsid w:val="00580512"/>
    <w:rsid w:val="00580A2A"/>
    <w:rsid w:val="0058723D"/>
    <w:rsid w:val="00590C5C"/>
    <w:rsid w:val="00593BEA"/>
    <w:rsid w:val="005A1146"/>
    <w:rsid w:val="005A1D8F"/>
    <w:rsid w:val="005A21FF"/>
    <w:rsid w:val="005A3743"/>
    <w:rsid w:val="005C30C9"/>
    <w:rsid w:val="005F0D52"/>
    <w:rsid w:val="005F1E90"/>
    <w:rsid w:val="005F4DB0"/>
    <w:rsid w:val="0060011D"/>
    <w:rsid w:val="006144B4"/>
    <w:rsid w:val="00614963"/>
    <w:rsid w:val="00614FCE"/>
    <w:rsid w:val="00622A97"/>
    <w:rsid w:val="006232C1"/>
    <w:rsid w:val="0062660B"/>
    <w:rsid w:val="006278A9"/>
    <w:rsid w:val="00643913"/>
    <w:rsid w:val="00643E63"/>
    <w:rsid w:val="00650652"/>
    <w:rsid w:val="006700AB"/>
    <w:rsid w:val="00681937"/>
    <w:rsid w:val="00696DF5"/>
    <w:rsid w:val="00697A03"/>
    <w:rsid w:val="006A0900"/>
    <w:rsid w:val="006B07C9"/>
    <w:rsid w:val="006B4209"/>
    <w:rsid w:val="006C20E5"/>
    <w:rsid w:val="006C7F25"/>
    <w:rsid w:val="006D7333"/>
    <w:rsid w:val="006E2774"/>
    <w:rsid w:val="006F23B2"/>
    <w:rsid w:val="006F4D6D"/>
    <w:rsid w:val="00711962"/>
    <w:rsid w:val="00716BAB"/>
    <w:rsid w:val="00720644"/>
    <w:rsid w:val="007220AD"/>
    <w:rsid w:val="0073469B"/>
    <w:rsid w:val="00762D67"/>
    <w:rsid w:val="007664BA"/>
    <w:rsid w:val="00795F03"/>
    <w:rsid w:val="007A0FE9"/>
    <w:rsid w:val="007A2A8A"/>
    <w:rsid w:val="007B00ED"/>
    <w:rsid w:val="007B757C"/>
    <w:rsid w:val="007B78ED"/>
    <w:rsid w:val="007C7307"/>
    <w:rsid w:val="007D0DF1"/>
    <w:rsid w:val="007D2BC9"/>
    <w:rsid w:val="007E575D"/>
    <w:rsid w:val="007F07EE"/>
    <w:rsid w:val="00805B1C"/>
    <w:rsid w:val="008133EF"/>
    <w:rsid w:val="00834C0E"/>
    <w:rsid w:val="008357E1"/>
    <w:rsid w:val="00841AEF"/>
    <w:rsid w:val="00841FB3"/>
    <w:rsid w:val="00850C17"/>
    <w:rsid w:val="0085627E"/>
    <w:rsid w:val="0085659D"/>
    <w:rsid w:val="00857722"/>
    <w:rsid w:val="00862EC1"/>
    <w:rsid w:val="00870AC6"/>
    <w:rsid w:val="00880F13"/>
    <w:rsid w:val="00883119"/>
    <w:rsid w:val="008907C0"/>
    <w:rsid w:val="008937EA"/>
    <w:rsid w:val="00896295"/>
    <w:rsid w:val="00897180"/>
    <w:rsid w:val="008A1A76"/>
    <w:rsid w:val="008A2920"/>
    <w:rsid w:val="008A36B1"/>
    <w:rsid w:val="008A43DE"/>
    <w:rsid w:val="008A4C02"/>
    <w:rsid w:val="008B23D1"/>
    <w:rsid w:val="008C1BD6"/>
    <w:rsid w:val="008D4233"/>
    <w:rsid w:val="008E2DA6"/>
    <w:rsid w:val="008F6E0E"/>
    <w:rsid w:val="009302CF"/>
    <w:rsid w:val="0093097C"/>
    <w:rsid w:val="009314C0"/>
    <w:rsid w:val="009333C2"/>
    <w:rsid w:val="00935A70"/>
    <w:rsid w:val="009468B4"/>
    <w:rsid w:val="009675D9"/>
    <w:rsid w:val="00976BEF"/>
    <w:rsid w:val="00982173"/>
    <w:rsid w:val="009950B8"/>
    <w:rsid w:val="00996A23"/>
    <w:rsid w:val="009A37E6"/>
    <w:rsid w:val="009B6D6B"/>
    <w:rsid w:val="009B7751"/>
    <w:rsid w:val="009C62ED"/>
    <w:rsid w:val="009C6E88"/>
    <w:rsid w:val="009D6F07"/>
    <w:rsid w:val="009E1EA0"/>
    <w:rsid w:val="009F492E"/>
    <w:rsid w:val="009F4C57"/>
    <w:rsid w:val="009F6F45"/>
    <w:rsid w:val="00A02CD2"/>
    <w:rsid w:val="00A2091F"/>
    <w:rsid w:val="00A229E9"/>
    <w:rsid w:val="00A27138"/>
    <w:rsid w:val="00A325FC"/>
    <w:rsid w:val="00A33170"/>
    <w:rsid w:val="00A35187"/>
    <w:rsid w:val="00A368EC"/>
    <w:rsid w:val="00A3746A"/>
    <w:rsid w:val="00A4640F"/>
    <w:rsid w:val="00A46B78"/>
    <w:rsid w:val="00A55AF6"/>
    <w:rsid w:val="00A565D1"/>
    <w:rsid w:val="00A56AC9"/>
    <w:rsid w:val="00A56BEE"/>
    <w:rsid w:val="00A615A2"/>
    <w:rsid w:val="00A647D0"/>
    <w:rsid w:val="00A65C1C"/>
    <w:rsid w:val="00A73D04"/>
    <w:rsid w:val="00A83075"/>
    <w:rsid w:val="00A8542D"/>
    <w:rsid w:val="00A8552E"/>
    <w:rsid w:val="00A86E08"/>
    <w:rsid w:val="00AA1C78"/>
    <w:rsid w:val="00AA66F3"/>
    <w:rsid w:val="00AB0FC2"/>
    <w:rsid w:val="00AB3E5F"/>
    <w:rsid w:val="00AC0E45"/>
    <w:rsid w:val="00AC42C0"/>
    <w:rsid w:val="00AC457C"/>
    <w:rsid w:val="00AD55E0"/>
    <w:rsid w:val="00AE3B41"/>
    <w:rsid w:val="00AE573A"/>
    <w:rsid w:val="00B0184B"/>
    <w:rsid w:val="00B02718"/>
    <w:rsid w:val="00B045C3"/>
    <w:rsid w:val="00B13848"/>
    <w:rsid w:val="00B15942"/>
    <w:rsid w:val="00B223AF"/>
    <w:rsid w:val="00B3431B"/>
    <w:rsid w:val="00B36FD5"/>
    <w:rsid w:val="00B41B06"/>
    <w:rsid w:val="00B42DDB"/>
    <w:rsid w:val="00B5213D"/>
    <w:rsid w:val="00B54FDF"/>
    <w:rsid w:val="00B56898"/>
    <w:rsid w:val="00B60033"/>
    <w:rsid w:val="00B614A0"/>
    <w:rsid w:val="00B80BEC"/>
    <w:rsid w:val="00B91D1A"/>
    <w:rsid w:val="00BA47E9"/>
    <w:rsid w:val="00BA74F2"/>
    <w:rsid w:val="00BD55EA"/>
    <w:rsid w:val="00BE503E"/>
    <w:rsid w:val="00BE77D8"/>
    <w:rsid w:val="00BF0DE0"/>
    <w:rsid w:val="00C00A51"/>
    <w:rsid w:val="00C02C45"/>
    <w:rsid w:val="00C04D26"/>
    <w:rsid w:val="00C1323D"/>
    <w:rsid w:val="00C13F39"/>
    <w:rsid w:val="00C174C6"/>
    <w:rsid w:val="00C20CC0"/>
    <w:rsid w:val="00C46A6A"/>
    <w:rsid w:val="00C472B8"/>
    <w:rsid w:val="00C525E8"/>
    <w:rsid w:val="00C559D6"/>
    <w:rsid w:val="00C60A19"/>
    <w:rsid w:val="00C61144"/>
    <w:rsid w:val="00C61CC6"/>
    <w:rsid w:val="00C754EC"/>
    <w:rsid w:val="00C77120"/>
    <w:rsid w:val="00C777D8"/>
    <w:rsid w:val="00C92E96"/>
    <w:rsid w:val="00C937E5"/>
    <w:rsid w:val="00C96ECB"/>
    <w:rsid w:val="00C977B2"/>
    <w:rsid w:val="00CA1F32"/>
    <w:rsid w:val="00CB02A0"/>
    <w:rsid w:val="00CB1540"/>
    <w:rsid w:val="00CB206C"/>
    <w:rsid w:val="00CC2B4F"/>
    <w:rsid w:val="00CC7463"/>
    <w:rsid w:val="00CD172C"/>
    <w:rsid w:val="00CD2D7F"/>
    <w:rsid w:val="00CD3592"/>
    <w:rsid w:val="00CD5D01"/>
    <w:rsid w:val="00CF178D"/>
    <w:rsid w:val="00D0188D"/>
    <w:rsid w:val="00D22FAA"/>
    <w:rsid w:val="00D2313A"/>
    <w:rsid w:val="00D24AF0"/>
    <w:rsid w:val="00D36F57"/>
    <w:rsid w:val="00D41AE1"/>
    <w:rsid w:val="00D520A7"/>
    <w:rsid w:val="00D533D9"/>
    <w:rsid w:val="00D549C6"/>
    <w:rsid w:val="00D55ABC"/>
    <w:rsid w:val="00D652DD"/>
    <w:rsid w:val="00D70764"/>
    <w:rsid w:val="00D75381"/>
    <w:rsid w:val="00D86AE9"/>
    <w:rsid w:val="00D86D5E"/>
    <w:rsid w:val="00D90BC4"/>
    <w:rsid w:val="00D97917"/>
    <w:rsid w:val="00DA1FC0"/>
    <w:rsid w:val="00DB6887"/>
    <w:rsid w:val="00DB6A54"/>
    <w:rsid w:val="00DB7FC1"/>
    <w:rsid w:val="00DC01B2"/>
    <w:rsid w:val="00DC01DA"/>
    <w:rsid w:val="00DC0399"/>
    <w:rsid w:val="00DC041E"/>
    <w:rsid w:val="00DC25AE"/>
    <w:rsid w:val="00DC5545"/>
    <w:rsid w:val="00DE7438"/>
    <w:rsid w:val="00DF6929"/>
    <w:rsid w:val="00DF7DF7"/>
    <w:rsid w:val="00E16033"/>
    <w:rsid w:val="00E230A5"/>
    <w:rsid w:val="00E537D1"/>
    <w:rsid w:val="00E5616E"/>
    <w:rsid w:val="00E632E6"/>
    <w:rsid w:val="00E659C3"/>
    <w:rsid w:val="00E70A9E"/>
    <w:rsid w:val="00E74C39"/>
    <w:rsid w:val="00E803D4"/>
    <w:rsid w:val="00E83D71"/>
    <w:rsid w:val="00E860C9"/>
    <w:rsid w:val="00E90370"/>
    <w:rsid w:val="00E918CF"/>
    <w:rsid w:val="00E9354D"/>
    <w:rsid w:val="00E97809"/>
    <w:rsid w:val="00E97CDE"/>
    <w:rsid w:val="00EA2EE7"/>
    <w:rsid w:val="00ED2121"/>
    <w:rsid w:val="00EE048B"/>
    <w:rsid w:val="00EE0BC1"/>
    <w:rsid w:val="00EF1380"/>
    <w:rsid w:val="00EF3596"/>
    <w:rsid w:val="00F06ABB"/>
    <w:rsid w:val="00F12FE1"/>
    <w:rsid w:val="00F24601"/>
    <w:rsid w:val="00F25E05"/>
    <w:rsid w:val="00F26EE0"/>
    <w:rsid w:val="00F33357"/>
    <w:rsid w:val="00F41E7C"/>
    <w:rsid w:val="00F42B73"/>
    <w:rsid w:val="00F511AA"/>
    <w:rsid w:val="00F57771"/>
    <w:rsid w:val="00F679FE"/>
    <w:rsid w:val="00F7176A"/>
    <w:rsid w:val="00F72A9E"/>
    <w:rsid w:val="00F74EFA"/>
    <w:rsid w:val="00F74FCA"/>
    <w:rsid w:val="00F935FC"/>
    <w:rsid w:val="00FA1283"/>
    <w:rsid w:val="00FC0B58"/>
    <w:rsid w:val="00FC5027"/>
    <w:rsid w:val="00FD762A"/>
    <w:rsid w:val="00FE074E"/>
    <w:rsid w:val="00FE456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297A65DF-D4BA-4593-AC80-0C7B6ACA9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364E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F0DE0"/>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BF0DE0"/>
  </w:style>
  <w:style w:type="paragraph" w:styleId="Fuzeile">
    <w:name w:val="footer"/>
    <w:basedOn w:val="Standard"/>
    <w:link w:val="FuzeileZchn"/>
    <w:uiPriority w:val="99"/>
    <w:unhideWhenUsed/>
    <w:rsid w:val="00BF0DE0"/>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BF0DE0"/>
  </w:style>
  <w:style w:type="paragraph" w:customStyle="1" w:styleId="AddressBlockBusinessUnit">
    <w:name w:val="Address Block: Business Unit"/>
    <w:basedOn w:val="Standard"/>
    <w:next w:val="Standard"/>
    <w:uiPriority w:val="99"/>
    <w:rsid w:val="00BF0DE0"/>
    <w:pPr>
      <w:suppressAutoHyphens/>
      <w:autoSpaceDE w:val="0"/>
      <w:autoSpaceDN w:val="0"/>
      <w:adjustRightInd w:val="0"/>
      <w:spacing w:after="0" w:line="280" w:lineRule="atLeast"/>
      <w:textAlignment w:val="center"/>
    </w:pPr>
    <w:rPr>
      <w:rFonts w:ascii="Arial" w:eastAsia="Calibri" w:hAnsi="Arial" w:cs="Arial"/>
      <w:color w:val="000000"/>
      <w:kern w:val="20"/>
    </w:rPr>
  </w:style>
  <w:style w:type="character" w:styleId="Hyperlink">
    <w:name w:val="Hyperlink"/>
    <w:rsid w:val="00C96ECB"/>
    <w:rPr>
      <w:color w:val="0000FF"/>
      <w:u w:val="single"/>
    </w:rPr>
  </w:style>
  <w:style w:type="paragraph" w:customStyle="1" w:styleId="HONSAdressenblock">
    <w:name w:val="HONS Adressenblock"/>
    <w:basedOn w:val="Standard"/>
    <w:link w:val="HONSAdressenblockZchn"/>
    <w:uiPriority w:val="99"/>
    <w:rsid w:val="00C96ECB"/>
    <w:pPr>
      <w:tabs>
        <w:tab w:val="left" w:pos="3240"/>
        <w:tab w:val="left" w:pos="6120"/>
      </w:tabs>
      <w:spacing w:after="0" w:line="240" w:lineRule="auto"/>
      <w:ind w:right="-72"/>
    </w:pPr>
    <w:rPr>
      <w:rFonts w:ascii="Times New Roman" w:eastAsia="Times New Roman" w:hAnsi="Times New Roman" w:cs="Times New Roman"/>
      <w:sz w:val="24"/>
      <w:szCs w:val="24"/>
      <w:lang w:eastAsia="de-DE"/>
    </w:rPr>
  </w:style>
  <w:style w:type="character" w:customStyle="1" w:styleId="HONSAdressenblockZchn">
    <w:name w:val="HONS Adressenblock Zchn"/>
    <w:basedOn w:val="Absatz-Standardschriftart"/>
    <w:link w:val="HONSAdressenblock"/>
    <w:uiPriority w:val="99"/>
    <w:locked/>
    <w:rsid w:val="00C96ECB"/>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C96ECB"/>
    <w:rPr>
      <w:sz w:val="16"/>
      <w:szCs w:val="16"/>
    </w:rPr>
  </w:style>
  <w:style w:type="paragraph" w:styleId="Kommentartext">
    <w:name w:val="annotation text"/>
    <w:basedOn w:val="Standard"/>
    <w:link w:val="KommentartextZchn"/>
    <w:uiPriority w:val="99"/>
    <w:semiHidden/>
    <w:unhideWhenUsed/>
    <w:rsid w:val="00C96ECB"/>
    <w:pPr>
      <w:spacing w:after="0" w:line="240" w:lineRule="auto"/>
    </w:pPr>
    <w:rPr>
      <w:rFonts w:ascii="Arial" w:eastAsia="Times New Roman" w:hAnsi="Arial" w:cs="Times New Roman"/>
      <w:sz w:val="20"/>
      <w:szCs w:val="20"/>
    </w:rPr>
  </w:style>
  <w:style w:type="character" w:customStyle="1" w:styleId="KommentartextZchn">
    <w:name w:val="Kommentartext Zchn"/>
    <w:basedOn w:val="Absatz-Standardschriftart"/>
    <w:link w:val="Kommentartext"/>
    <w:uiPriority w:val="99"/>
    <w:semiHidden/>
    <w:rsid w:val="00C96ECB"/>
    <w:rPr>
      <w:rFonts w:ascii="Arial" w:eastAsia="Times New Roman" w:hAnsi="Arial" w:cs="Times New Roman"/>
      <w:sz w:val="20"/>
      <w:szCs w:val="20"/>
    </w:rPr>
  </w:style>
  <w:style w:type="paragraph" w:styleId="Listenabsatz">
    <w:name w:val="List Paragraph"/>
    <w:basedOn w:val="Standard"/>
    <w:uiPriority w:val="34"/>
    <w:qFormat/>
    <w:rsid w:val="00C96ECB"/>
    <w:pPr>
      <w:ind w:left="720"/>
      <w:contextualSpacing/>
    </w:pPr>
  </w:style>
  <w:style w:type="paragraph" w:styleId="Sprechblasentext">
    <w:name w:val="Balloon Text"/>
    <w:basedOn w:val="Standard"/>
    <w:link w:val="SprechblasentextZchn"/>
    <w:uiPriority w:val="99"/>
    <w:semiHidden/>
    <w:unhideWhenUsed/>
    <w:rsid w:val="003A685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A6857"/>
    <w:rPr>
      <w:rFonts w:ascii="Tahoma" w:hAnsi="Tahoma" w:cs="Tahoma"/>
      <w:sz w:val="16"/>
      <w:szCs w:val="16"/>
    </w:rPr>
  </w:style>
  <w:style w:type="paragraph" w:styleId="Textkrper-Zeileneinzug">
    <w:name w:val="Body Text Indent"/>
    <w:basedOn w:val="Standard"/>
    <w:link w:val="Textkrper-ZeileneinzugZchn"/>
    <w:rsid w:val="00681937"/>
    <w:pPr>
      <w:spacing w:after="120" w:line="240" w:lineRule="auto"/>
      <w:ind w:left="283"/>
    </w:pPr>
    <w:rPr>
      <w:rFonts w:ascii="Times" w:eastAsia="Times" w:hAnsi="Times" w:cs="Times New Roman"/>
      <w:sz w:val="24"/>
      <w:szCs w:val="20"/>
      <w:lang w:val="de-DE" w:eastAsia="de-DE"/>
    </w:rPr>
  </w:style>
  <w:style w:type="character" w:customStyle="1" w:styleId="Textkrper-ZeileneinzugZchn">
    <w:name w:val="Textkörper-Zeileneinzug Zchn"/>
    <w:basedOn w:val="Absatz-Standardschriftart"/>
    <w:link w:val="Textkrper-Zeileneinzug"/>
    <w:rsid w:val="00681937"/>
    <w:rPr>
      <w:rFonts w:ascii="Times" w:eastAsia="Times" w:hAnsi="Times" w:cs="Times New Roman"/>
      <w:sz w:val="24"/>
      <w:szCs w:val="20"/>
      <w:lang w:val="de-DE" w:eastAsia="de-DE"/>
    </w:rPr>
  </w:style>
  <w:style w:type="paragraph" w:styleId="NurText">
    <w:name w:val="Plain Text"/>
    <w:basedOn w:val="Standard"/>
    <w:link w:val="NurTextZchn"/>
    <w:uiPriority w:val="99"/>
    <w:unhideWhenUsed/>
    <w:rsid w:val="004D3EE3"/>
    <w:pPr>
      <w:spacing w:after="0" w:line="240" w:lineRule="auto"/>
    </w:pPr>
    <w:rPr>
      <w:rFonts w:ascii="Calibri" w:eastAsia="Calibri" w:hAnsi="Calibri" w:cs="Times New Roman"/>
      <w:lang w:val="de-DE" w:eastAsia="de-DE"/>
    </w:rPr>
  </w:style>
  <w:style w:type="character" w:customStyle="1" w:styleId="NurTextZchn">
    <w:name w:val="Nur Text Zchn"/>
    <w:basedOn w:val="Absatz-Standardschriftart"/>
    <w:link w:val="NurText"/>
    <w:uiPriority w:val="99"/>
    <w:rsid w:val="004D3EE3"/>
    <w:rPr>
      <w:rFonts w:ascii="Calibri" w:eastAsia="Calibri" w:hAnsi="Calibri" w:cs="Times New Roman"/>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oneywell.com/newsro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oneywel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sser-systems.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D775F9-691E-45B2-8B53-F4AC91376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568</Words>
  <Characters>3584</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Honeywell</Company>
  <LinksUpToDate>false</LinksUpToDate>
  <CharactersWithSpaces>4144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Joachim.Meisehen@Honeywell.com</dc:creator>
  <cp:lastModifiedBy>Meisehen, Joachim</cp:lastModifiedBy>
  <cp:revision>11</cp:revision>
  <cp:lastPrinted>2016-09-22T12:31:00Z</cp:lastPrinted>
  <dcterms:created xsi:type="dcterms:W3CDTF">2016-09-22T12:06:00Z</dcterms:created>
  <dcterms:modified xsi:type="dcterms:W3CDTF">2016-10-12T13:30:00Z</dcterms:modified>
</cp:coreProperties>
</file>