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8A" w:rsidRPr="00C472B8" w:rsidRDefault="00AA66F3" w:rsidP="005F0D52">
      <w:pPr>
        <w:spacing w:after="0"/>
        <w:ind w:right="288"/>
        <w:rPr>
          <w:rFonts w:ascii="Arial" w:hAnsi="Arial" w:cs="Arial"/>
          <w:lang w:val="de-DE"/>
        </w:rPr>
      </w:pPr>
      <w:r w:rsidRPr="00C472B8">
        <w:rPr>
          <w:rFonts w:ascii="Arial" w:hAnsi="Arial" w:cs="Arial"/>
          <w:b/>
          <w:lang w:val="de-DE"/>
        </w:rPr>
        <w:t>Kontakt</w:t>
      </w:r>
      <w:r w:rsidR="004D3EE3">
        <w:rPr>
          <w:rFonts w:ascii="Arial" w:hAnsi="Arial" w:cs="Arial"/>
          <w:b/>
          <w:lang w:val="de-DE"/>
        </w:rPr>
        <w:t xml:space="preserve"> für Redaktionen</w:t>
      </w:r>
      <w:r w:rsidR="00C96ECB" w:rsidRPr="00C472B8">
        <w:rPr>
          <w:rFonts w:ascii="Arial" w:hAnsi="Arial" w:cs="Arial"/>
          <w:lang w:val="de-DE"/>
        </w:rPr>
        <w:t>:</w:t>
      </w:r>
    </w:p>
    <w:p w:rsidR="00C96ECB" w:rsidRPr="00A46B78" w:rsidRDefault="00AA66F3" w:rsidP="005F0D52">
      <w:pPr>
        <w:pStyle w:val="HONSAdressenblock"/>
        <w:tabs>
          <w:tab w:val="clear" w:pos="6120"/>
          <w:tab w:val="left" w:pos="5220"/>
        </w:tabs>
        <w:ind w:left="1440" w:right="288" w:hanging="1440"/>
        <w:rPr>
          <w:rFonts w:ascii="Arial" w:hAnsi="Arial" w:cs="Arial"/>
          <w:sz w:val="22"/>
        </w:rPr>
      </w:pPr>
      <w:r w:rsidRPr="00C472B8">
        <w:rPr>
          <w:rFonts w:ascii="Arial" w:hAnsi="Arial" w:cs="Arial"/>
          <w:sz w:val="22"/>
          <w:lang w:val="de-DE"/>
        </w:rPr>
        <w:t xml:space="preserve">Dipl.-Ing. </w:t>
      </w:r>
      <w:r w:rsidRPr="00A46B78">
        <w:rPr>
          <w:rFonts w:ascii="Arial" w:hAnsi="Arial" w:cs="Arial"/>
          <w:sz w:val="22"/>
        </w:rPr>
        <w:t>Joachim Meisehen</w:t>
      </w:r>
      <w:r w:rsidR="00C96ECB" w:rsidRPr="00A46B78">
        <w:rPr>
          <w:rFonts w:ascii="Arial" w:hAnsi="Arial" w:cs="Arial"/>
          <w:sz w:val="22"/>
        </w:rPr>
        <w:tab/>
      </w:r>
      <w:r w:rsidRPr="00A46B78">
        <w:rPr>
          <w:rFonts w:ascii="Arial" w:hAnsi="Arial" w:cs="Arial"/>
          <w:sz w:val="22"/>
        </w:rPr>
        <w:tab/>
      </w:r>
      <w:r w:rsidRPr="00A46B78">
        <w:rPr>
          <w:rFonts w:ascii="Arial" w:hAnsi="Arial" w:cs="Arial"/>
          <w:sz w:val="22"/>
        </w:rPr>
        <w:tab/>
      </w:r>
    </w:p>
    <w:p w:rsidR="00C96ECB" w:rsidRPr="00087369" w:rsidRDefault="00AA66F3" w:rsidP="005F0D52">
      <w:pPr>
        <w:pStyle w:val="HONSAdressenblock"/>
        <w:tabs>
          <w:tab w:val="clear" w:pos="6120"/>
          <w:tab w:val="left" w:pos="5220"/>
        </w:tabs>
        <w:ind w:right="28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Novar GmbH a </w:t>
      </w:r>
      <w:r w:rsidR="00C96ECB">
        <w:rPr>
          <w:rFonts w:ascii="Arial" w:hAnsi="Arial" w:cs="Arial"/>
          <w:sz w:val="22"/>
        </w:rPr>
        <w:t xml:space="preserve">Honeywell </w:t>
      </w:r>
      <w:r>
        <w:rPr>
          <w:rFonts w:ascii="Arial" w:hAnsi="Arial" w:cs="Arial"/>
          <w:sz w:val="22"/>
        </w:rPr>
        <w:t>Compan</w:t>
      </w:r>
      <w:r w:rsidR="00D652DD">
        <w:rPr>
          <w:rFonts w:ascii="Arial" w:hAnsi="Arial" w:cs="Arial"/>
          <w:sz w:val="22"/>
        </w:rPr>
        <w:t>y</w:t>
      </w:r>
    </w:p>
    <w:p w:rsidR="00AA66F3" w:rsidRPr="00A46B78" w:rsidRDefault="00AA66F3" w:rsidP="005F0D52">
      <w:pPr>
        <w:pStyle w:val="HONSAdressenblock"/>
        <w:tabs>
          <w:tab w:val="clear" w:pos="6120"/>
          <w:tab w:val="left" w:pos="5220"/>
        </w:tabs>
        <w:ind w:right="288"/>
        <w:rPr>
          <w:rFonts w:ascii="Arial" w:hAnsi="Arial" w:cs="Arial"/>
          <w:sz w:val="22"/>
          <w:lang w:val="de-DE"/>
        </w:rPr>
      </w:pPr>
      <w:r w:rsidRPr="00A46B78">
        <w:rPr>
          <w:rFonts w:ascii="Arial" w:hAnsi="Arial" w:cs="Arial"/>
          <w:sz w:val="22"/>
          <w:lang w:val="de-DE"/>
        </w:rPr>
        <w:t>Dieselstraße 2</w:t>
      </w:r>
    </w:p>
    <w:p w:rsidR="009D6F07" w:rsidRPr="00A46B78" w:rsidRDefault="00AA66F3" w:rsidP="005F0D52">
      <w:pPr>
        <w:pStyle w:val="HONSAdressenblock"/>
        <w:tabs>
          <w:tab w:val="clear" w:pos="6120"/>
          <w:tab w:val="left" w:pos="5220"/>
        </w:tabs>
        <w:ind w:right="288"/>
        <w:rPr>
          <w:rFonts w:ascii="Arial" w:hAnsi="Arial" w:cs="Arial"/>
          <w:sz w:val="22"/>
          <w:lang w:val="de-DE"/>
        </w:rPr>
      </w:pPr>
      <w:r w:rsidRPr="00A46B78">
        <w:rPr>
          <w:rFonts w:ascii="Arial" w:hAnsi="Arial" w:cs="Arial"/>
          <w:sz w:val="22"/>
          <w:lang w:val="de-DE"/>
        </w:rPr>
        <w:t>41469 Neuss</w:t>
      </w:r>
    </w:p>
    <w:p w:rsidR="00C96ECB" w:rsidRPr="00A46B78" w:rsidRDefault="009D6F07" w:rsidP="005F0D52">
      <w:pPr>
        <w:pStyle w:val="HONSAdressenblock"/>
        <w:tabs>
          <w:tab w:val="clear" w:pos="6120"/>
          <w:tab w:val="left" w:pos="5220"/>
        </w:tabs>
        <w:ind w:right="288"/>
        <w:rPr>
          <w:rFonts w:ascii="Arial" w:hAnsi="Arial" w:cs="Arial"/>
          <w:sz w:val="22"/>
          <w:lang w:val="de-DE"/>
        </w:rPr>
      </w:pPr>
      <w:r w:rsidRPr="00A46B78">
        <w:rPr>
          <w:rFonts w:ascii="Arial" w:hAnsi="Arial" w:cs="Arial"/>
          <w:sz w:val="22"/>
          <w:lang w:val="de-DE"/>
        </w:rPr>
        <w:t>Tel.: 02131 40615 226</w:t>
      </w:r>
      <w:r w:rsidR="00C96ECB" w:rsidRPr="00A46B78">
        <w:rPr>
          <w:rFonts w:ascii="Arial" w:hAnsi="Arial" w:cs="Arial"/>
          <w:sz w:val="22"/>
          <w:lang w:val="de-DE"/>
        </w:rPr>
        <w:tab/>
      </w:r>
      <w:r w:rsidR="00C96ECB" w:rsidRPr="00A46B78">
        <w:rPr>
          <w:rFonts w:ascii="Arial" w:hAnsi="Arial" w:cs="Arial"/>
          <w:sz w:val="22"/>
          <w:lang w:val="de-DE"/>
        </w:rPr>
        <w:tab/>
      </w:r>
      <w:r w:rsidR="00C96ECB" w:rsidRPr="00A46B78">
        <w:rPr>
          <w:rFonts w:ascii="Arial" w:hAnsi="Arial" w:cs="Arial"/>
          <w:sz w:val="22"/>
          <w:lang w:val="de-DE"/>
        </w:rPr>
        <w:tab/>
      </w:r>
    </w:p>
    <w:p w:rsidR="00C96ECB" w:rsidRPr="00A46B78" w:rsidRDefault="00025843" w:rsidP="005F0D52">
      <w:pPr>
        <w:pStyle w:val="HONSAdressenblock"/>
        <w:tabs>
          <w:tab w:val="clear" w:pos="6120"/>
          <w:tab w:val="left" w:pos="5220"/>
        </w:tabs>
        <w:ind w:right="288"/>
        <w:rPr>
          <w:rFonts w:ascii="Arial" w:hAnsi="Arial" w:cs="Arial"/>
          <w:sz w:val="22"/>
          <w:lang w:val="de-DE"/>
        </w:rPr>
      </w:pPr>
      <w:hyperlink r:id="rId8" w:history="1">
        <w:r w:rsidR="00AA66F3" w:rsidRPr="00A46B78">
          <w:rPr>
            <w:rStyle w:val="Hyperlink"/>
            <w:rFonts w:ascii="Arial" w:hAnsi="Arial" w:cs="Arial"/>
            <w:sz w:val="22"/>
            <w:lang w:val="de-DE"/>
          </w:rPr>
          <w:t>joachim.meisehen@honeywell.com</w:t>
        </w:r>
      </w:hyperlink>
      <w:r w:rsidR="00C96ECB" w:rsidRPr="00A46B78">
        <w:rPr>
          <w:rFonts w:ascii="Arial" w:hAnsi="Arial" w:cs="Arial"/>
          <w:sz w:val="22"/>
          <w:lang w:val="de-DE"/>
        </w:rPr>
        <w:tab/>
      </w:r>
      <w:r w:rsidR="00C96ECB" w:rsidRPr="00A46B78">
        <w:rPr>
          <w:rFonts w:ascii="Arial" w:hAnsi="Arial" w:cs="Arial"/>
          <w:sz w:val="22"/>
          <w:lang w:val="de-DE"/>
        </w:rPr>
        <w:tab/>
      </w:r>
      <w:r w:rsidR="00C96ECB" w:rsidRPr="00A46B78">
        <w:rPr>
          <w:rFonts w:ascii="Arial" w:hAnsi="Arial" w:cs="Arial"/>
          <w:sz w:val="22"/>
          <w:lang w:val="de-DE"/>
        </w:rPr>
        <w:tab/>
      </w:r>
    </w:p>
    <w:p w:rsidR="00AD55E0" w:rsidRPr="00A46B78" w:rsidRDefault="00AD55E0" w:rsidP="005F0D52">
      <w:pPr>
        <w:pStyle w:val="HONSAdressenblock"/>
        <w:tabs>
          <w:tab w:val="clear" w:pos="6120"/>
          <w:tab w:val="left" w:pos="5220"/>
        </w:tabs>
        <w:ind w:right="288"/>
        <w:rPr>
          <w:rFonts w:ascii="Arial" w:hAnsi="Arial" w:cs="Arial"/>
          <w:sz w:val="22"/>
          <w:lang w:val="de-DE"/>
        </w:rPr>
      </w:pPr>
    </w:p>
    <w:p w:rsidR="003D4C92" w:rsidRPr="00A46B78" w:rsidRDefault="003D4C92" w:rsidP="005F0D52">
      <w:pPr>
        <w:pStyle w:val="HONSAdressenblock"/>
        <w:tabs>
          <w:tab w:val="clear" w:pos="6120"/>
          <w:tab w:val="left" w:pos="5220"/>
        </w:tabs>
        <w:ind w:right="288"/>
        <w:rPr>
          <w:rFonts w:ascii="Arial" w:hAnsi="Arial" w:cs="Arial"/>
          <w:sz w:val="22"/>
          <w:szCs w:val="22"/>
          <w:lang w:val="de-DE"/>
        </w:rPr>
      </w:pPr>
    </w:p>
    <w:p w:rsidR="00C96ECB" w:rsidRPr="00A46B78" w:rsidRDefault="00C96ECB" w:rsidP="005F0D52">
      <w:pPr>
        <w:pStyle w:val="HONSAdressenblock"/>
        <w:tabs>
          <w:tab w:val="clear" w:pos="6120"/>
          <w:tab w:val="left" w:pos="5220"/>
        </w:tabs>
        <w:ind w:right="288"/>
        <w:rPr>
          <w:rFonts w:ascii="Arial" w:hAnsi="Arial" w:cs="Arial"/>
          <w:lang w:val="de-DE"/>
        </w:rPr>
      </w:pPr>
      <w:r w:rsidRPr="00A46B78">
        <w:rPr>
          <w:rFonts w:ascii="Arial" w:hAnsi="Arial" w:cs="Arial"/>
          <w:lang w:val="de-DE"/>
        </w:rPr>
        <w:tab/>
      </w:r>
    </w:p>
    <w:p w:rsidR="004D3EE3" w:rsidRPr="009E1EA0" w:rsidRDefault="004D3EE3" w:rsidP="004D3EE3">
      <w:pPr>
        <w:ind w:right="742"/>
        <w:rPr>
          <w:rFonts w:ascii="Arial" w:hAnsi="Arial" w:cs="Arial"/>
          <w:b/>
          <w:sz w:val="28"/>
          <w:szCs w:val="28"/>
          <w:lang w:val="de-DE"/>
        </w:rPr>
      </w:pPr>
      <w:r w:rsidRPr="009E1EA0">
        <w:rPr>
          <w:rFonts w:ascii="Arial" w:hAnsi="Arial" w:cs="Arial"/>
          <w:b/>
          <w:sz w:val="28"/>
          <w:szCs w:val="28"/>
          <w:lang w:val="de-DE"/>
        </w:rPr>
        <w:t xml:space="preserve">René Tepaß </w:t>
      </w:r>
      <w:r w:rsidR="00EE048B" w:rsidRPr="009E1EA0">
        <w:rPr>
          <w:rFonts w:ascii="Arial" w:hAnsi="Arial" w:cs="Arial"/>
          <w:b/>
          <w:sz w:val="28"/>
          <w:szCs w:val="28"/>
          <w:lang w:val="de-DE"/>
        </w:rPr>
        <w:t xml:space="preserve">leitet das </w:t>
      </w:r>
      <w:r w:rsidRPr="009E1EA0">
        <w:rPr>
          <w:rFonts w:ascii="Arial" w:hAnsi="Arial" w:cs="Arial"/>
          <w:b/>
          <w:sz w:val="28"/>
          <w:szCs w:val="28"/>
          <w:lang w:val="de-DE"/>
        </w:rPr>
        <w:t xml:space="preserve">Marketing für Honeywell Security </w:t>
      </w:r>
      <w:proofErr w:type="spellStart"/>
      <w:r w:rsidRPr="009E1EA0">
        <w:rPr>
          <w:rFonts w:ascii="Arial" w:hAnsi="Arial" w:cs="Arial"/>
          <w:b/>
          <w:sz w:val="28"/>
          <w:szCs w:val="28"/>
          <w:lang w:val="de-DE"/>
        </w:rPr>
        <w:t>and</w:t>
      </w:r>
      <w:proofErr w:type="spellEnd"/>
      <w:r w:rsidRPr="009E1EA0">
        <w:rPr>
          <w:rFonts w:ascii="Arial" w:hAnsi="Arial" w:cs="Arial"/>
          <w:b/>
          <w:sz w:val="28"/>
          <w:szCs w:val="28"/>
          <w:lang w:val="de-DE"/>
        </w:rPr>
        <w:t xml:space="preserve"> </w:t>
      </w:r>
      <w:proofErr w:type="spellStart"/>
      <w:r w:rsidRPr="009E1EA0">
        <w:rPr>
          <w:rFonts w:ascii="Arial" w:hAnsi="Arial" w:cs="Arial"/>
          <w:b/>
          <w:sz w:val="28"/>
          <w:szCs w:val="28"/>
          <w:lang w:val="de-DE"/>
        </w:rPr>
        <w:t>Fire</w:t>
      </w:r>
      <w:proofErr w:type="spellEnd"/>
      <w:r w:rsidRPr="009E1EA0">
        <w:rPr>
          <w:rFonts w:ascii="Arial" w:hAnsi="Arial" w:cs="Arial"/>
          <w:b/>
          <w:sz w:val="28"/>
          <w:szCs w:val="28"/>
          <w:lang w:val="de-DE"/>
        </w:rPr>
        <w:t xml:space="preserve"> Deutschland</w:t>
      </w:r>
    </w:p>
    <w:p w:rsidR="004D3EE3" w:rsidRPr="009E1EA0" w:rsidRDefault="004D3EE3" w:rsidP="004D3EE3">
      <w:pPr>
        <w:pStyle w:val="NurText"/>
        <w:spacing w:line="360" w:lineRule="auto"/>
        <w:jc w:val="both"/>
        <w:rPr>
          <w:rFonts w:ascii="Arial" w:eastAsia="Times" w:hAnsi="Arial" w:cs="Arial"/>
        </w:rPr>
      </w:pPr>
    </w:p>
    <w:p w:rsidR="004D3EE3" w:rsidRDefault="004D3EE3" w:rsidP="004D3EE3">
      <w:pPr>
        <w:pStyle w:val="NurText"/>
        <w:spacing w:line="360" w:lineRule="auto"/>
        <w:jc w:val="both"/>
        <w:rPr>
          <w:rFonts w:ascii="Arial" w:eastAsia="Times" w:hAnsi="Arial" w:cs="Arial"/>
        </w:rPr>
      </w:pPr>
      <w:r w:rsidRPr="007E2B80">
        <w:rPr>
          <w:rFonts w:ascii="Arial" w:eastAsia="Times" w:hAnsi="Arial" w:cs="Arial"/>
        </w:rPr>
        <w:t>Neuss, 19.08.2016 –  René Tepaß (44) übernimmt die Marketingleitung für den Geschäftsbereich Honeywell Security</w:t>
      </w:r>
      <w:r w:rsidR="009E1EA0">
        <w:rPr>
          <w:rFonts w:ascii="Arial" w:eastAsia="Times" w:hAnsi="Arial" w:cs="Arial"/>
        </w:rPr>
        <w:t xml:space="preserve"> </w:t>
      </w:r>
      <w:proofErr w:type="spellStart"/>
      <w:r w:rsidRPr="007E2B80">
        <w:rPr>
          <w:rFonts w:ascii="Arial" w:eastAsia="Times" w:hAnsi="Arial" w:cs="Arial"/>
        </w:rPr>
        <w:t>and</w:t>
      </w:r>
      <w:proofErr w:type="spellEnd"/>
      <w:r w:rsidRPr="007E2B80">
        <w:rPr>
          <w:rFonts w:ascii="Arial" w:eastAsia="Times" w:hAnsi="Arial" w:cs="Arial"/>
        </w:rPr>
        <w:t xml:space="preserve"> </w:t>
      </w:r>
      <w:proofErr w:type="spellStart"/>
      <w:r w:rsidRPr="007E2B80">
        <w:rPr>
          <w:rFonts w:ascii="Arial" w:eastAsia="Times" w:hAnsi="Arial" w:cs="Arial"/>
        </w:rPr>
        <w:t>Fire</w:t>
      </w:r>
      <w:proofErr w:type="spellEnd"/>
      <w:r w:rsidRPr="007E2B80">
        <w:rPr>
          <w:rFonts w:ascii="Arial" w:eastAsia="Times" w:hAnsi="Arial" w:cs="Arial"/>
        </w:rPr>
        <w:t xml:space="preserve"> (HSF) Deutschland. </w:t>
      </w:r>
      <w:r>
        <w:rPr>
          <w:rFonts w:ascii="Arial" w:eastAsia="Times" w:hAnsi="Arial" w:cs="Arial"/>
        </w:rPr>
        <w:t>Nachdem im</w:t>
      </w:r>
      <w:r w:rsidRPr="007E2B80">
        <w:rPr>
          <w:rFonts w:ascii="Arial" w:eastAsia="Times" w:hAnsi="Arial" w:cs="Arial"/>
        </w:rPr>
        <w:t xml:space="preserve"> vergangenen </w:t>
      </w:r>
      <w:r w:rsidR="00A46B78">
        <w:rPr>
          <w:rFonts w:ascii="Arial" w:eastAsia="Times" w:hAnsi="Arial" w:cs="Arial"/>
        </w:rPr>
        <w:t>Jahr der</w:t>
      </w:r>
      <w:r w:rsidR="00CF178D">
        <w:rPr>
          <w:rFonts w:ascii="Arial" w:eastAsia="Times" w:hAnsi="Arial" w:cs="Arial"/>
        </w:rPr>
        <w:t xml:space="preserve"> international tätige Honeywell-Konzern </w:t>
      </w:r>
      <w:r w:rsidRPr="007E2B80">
        <w:rPr>
          <w:rFonts w:ascii="Arial" w:eastAsia="Times" w:hAnsi="Arial" w:cs="Arial"/>
        </w:rPr>
        <w:t xml:space="preserve">die beiden Geschäftsbereiche </w:t>
      </w:r>
      <w:r w:rsidRPr="009E1EA0">
        <w:rPr>
          <w:rFonts w:ascii="Arial" w:eastAsia="Times" w:hAnsi="Arial" w:cs="Arial"/>
          <w:b/>
          <w:i/>
        </w:rPr>
        <w:t>Security Group</w:t>
      </w:r>
      <w:r w:rsidRPr="007E2B80">
        <w:rPr>
          <w:rFonts w:ascii="Arial" w:eastAsia="Times" w:hAnsi="Arial" w:cs="Arial"/>
        </w:rPr>
        <w:t xml:space="preserve"> und </w:t>
      </w:r>
      <w:proofErr w:type="spellStart"/>
      <w:r w:rsidRPr="009E1EA0">
        <w:rPr>
          <w:rFonts w:ascii="Arial" w:eastAsia="Times" w:hAnsi="Arial" w:cs="Arial"/>
          <w:b/>
          <w:i/>
        </w:rPr>
        <w:t>Fire</w:t>
      </w:r>
      <w:proofErr w:type="spellEnd"/>
      <w:r w:rsidRPr="009E1EA0">
        <w:rPr>
          <w:rFonts w:ascii="Arial" w:eastAsia="Times" w:hAnsi="Arial" w:cs="Arial"/>
          <w:b/>
          <w:i/>
        </w:rPr>
        <w:t xml:space="preserve"> Safety</w:t>
      </w:r>
      <w:r w:rsidRPr="007E2B80">
        <w:rPr>
          <w:rFonts w:ascii="Arial" w:eastAsia="Times" w:hAnsi="Arial" w:cs="Arial"/>
        </w:rPr>
        <w:t xml:space="preserve"> zu</w:t>
      </w:r>
      <w:r w:rsidR="00CF178D">
        <w:rPr>
          <w:rFonts w:ascii="Arial" w:eastAsia="Times" w:hAnsi="Arial" w:cs="Arial"/>
        </w:rPr>
        <w:t>r neuen Einheit</w:t>
      </w:r>
      <w:r w:rsidRPr="007E2B80">
        <w:rPr>
          <w:rFonts w:ascii="Arial" w:eastAsia="Times" w:hAnsi="Arial" w:cs="Arial"/>
        </w:rPr>
        <w:t xml:space="preserve"> </w:t>
      </w:r>
      <w:r w:rsidRPr="009E1EA0">
        <w:rPr>
          <w:rFonts w:ascii="Arial" w:eastAsia="Times" w:hAnsi="Arial" w:cs="Arial"/>
          <w:b/>
          <w:i/>
        </w:rPr>
        <w:t xml:space="preserve">Honeywell Security </w:t>
      </w:r>
      <w:proofErr w:type="spellStart"/>
      <w:r w:rsidRPr="009E1EA0">
        <w:rPr>
          <w:rFonts w:ascii="Arial" w:eastAsia="Times" w:hAnsi="Arial" w:cs="Arial"/>
          <w:b/>
          <w:i/>
        </w:rPr>
        <w:t>and</w:t>
      </w:r>
      <w:proofErr w:type="spellEnd"/>
      <w:r w:rsidRPr="009E1EA0">
        <w:rPr>
          <w:rFonts w:ascii="Arial" w:eastAsia="Times" w:hAnsi="Arial" w:cs="Arial"/>
          <w:b/>
          <w:i/>
        </w:rPr>
        <w:t xml:space="preserve"> </w:t>
      </w:r>
      <w:proofErr w:type="spellStart"/>
      <w:r w:rsidRPr="009E1EA0">
        <w:rPr>
          <w:rFonts w:ascii="Arial" w:eastAsia="Times" w:hAnsi="Arial" w:cs="Arial"/>
          <w:b/>
          <w:i/>
        </w:rPr>
        <w:t>Fire</w:t>
      </w:r>
      <w:proofErr w:type="spellEnd"/>
      <w:r w:rsidRPr="007E2B80">
        <w:rPr>
          <w:rFonts w:ascii="Arial" w:eastAsia="Times" w:hAnsi="Arial" w:cs="Arial"/>
        </w:rPr>
        <w:t xml:space="preserve"> zusammengeführt</w:t>
      </w:r>
      <w:r>
        <w:rPr>
          <w:rFonts w:ascii="Arial" w:eastAsia="Times" w:hAnsi="Arial" w:cs="Arial"/>
        </w:rPr>
        <w:t xml:space="preserve"> </w:t>
      </w:r>
      <w:r w:rsidR="00A46B78">
        <w:rPr>
          <w:rFonts w:ascii="Arial" w:eastAsia="Times" w:hAnsi="Arial" w:cs="Arial"/>
        </w:rPr>
        <w:t>hatte</w:t>
      </w:r>
      <w:r>
        <w:rPr>
          <w:rFonts w:ascii="Arial" w:eastAsia="Times" w:hAnsi="Arial" w:cs="Arial"/>
        </w:rPr>
        <w:t xml:space="preserve">, wird </w:t>
      </w:r>
      <w:r w:rsidRPr="007E2B80">
        <w:rPr>
          <w:rFonts w:ascii="Arial" w:eastAsia="Times" w:hAnsi="Arial" w:cs="Arial"/>
        </w:rPr>
        <w:t>René Tepaß in seiner neuen Funktion - zusammen mit den Vertriebseinheiten, de</w:t>
      </w:r>
      <w:r>
        <w:rPr>
          <w:rFonts w:ascii="Arial" w:eastAsia="Times" w:hAnsi="Arial" w:cs="Arial"/>
        </w:rPr>
        <w:t>m</w:t>
      </w:r>
      <w:r w:rsidRPr="007E2B80">
        <w:rPr>
          <w:rFonts w:ascii="Arial" w:eastAsia="Times" w:hAnsi="Arial" w:cs="Arial"/>
        </w:rPr>
        <w:t xml:space="preserve"> Produkt</w:t>
      </w:r>
      <w:r w:rsidR="009E1EA0">
        <w:rPr>
          <w:rFonts w:ascii="Arial" w:eastAsia="Times" w:hAnsi="Arial" w:cs="Arial"/>
        </w:rPr>
        <w:t>m</w:t>
      </w:r>
      <w:r w:rsidRPr="007E2B80">
        <w:rPr>
          <w:rFonts w:ascii="Arial" w:eastAsia="Times" w:hAnsi="Arial" w:cs="Arial"/>
        </w:rPr>
        <w:t>anagement</w:t>
      </w:r>
      <w:r>
        <w:rPr>
          <w:rFonts w:ascii="Arial" w:eastAsia="Times" w:hAnsi="Arial" w:cs="Arial"/>
        </w:rPr>
        <w:t xml:space="preserve"> </w:t>
      </w:r>
      <w:r w:rsidRPr="007E2B80">
        <w:rPr>
          <w:rFonts w:ascii="Arial" w:eastAsia="Times" w:hAnsi="Arial" w:cs="Arial"/>
        </w:rPr>
        <w:t xml:space="preserve">und den Kommunikationsbereichen </w:t>
      </w:r>
      <w:r w:rsidR="00CF178D">
        <w:rPr>
          <w:rFonts w:ascii="Arial" w:eastAsia="Times" w:hAnsi="Arial" w:cs="Arial"/>
        </w:rPr>
        <w:t xml:space="preserve">- </w:t>
      </w:r>
      <w:r w:rsidR="00C61CC6">
        <w:rPr>
          <w:rFonts w:ascii="Arial" w:eastAsia="Times" w:hAnsi="Arial" w:cs="Arial"/>
        </w:rPr>
        <w:t>die</w:t>
      </w:r>
      <w:r w:rsidRPr="007E2B80">
        <w:rPr>
          <w:rFonts w:ascii="Arial" w:eastAsia="Times" w:hAnsi="Arial" w:cs="Arial"/>
        </w:rPr>
        <w:t xml:space="preserve"> Neuausrichtung und Harmonisierung des Geschäftes </w:t>
      </w:r>
      <w:r w:rsidR="00C61CC6">
        <w:rPr>
          <w:rFonts w:ascii="Arial" w:eastAsia="Times" w:hAnsi="Arial" w:cs="Arial"/>
        </w:rPr>
        <w:t>vorantreiben</w:t>
      </w:r>
      <w:r w:rsidRPr="007E2B80">
        <w:rPr>
          <w:rFonts w:ascii="Arial" w:eastAsia="Times" w:hAnsi="Arial" w:cs="Arial"/>
        </w:rPr>
        <w:t xml:space="preserve">. </w:t>
      </w:r>
      <w:r w:rsidR="00CF178D">
        <w:rPr>
          <w:rFonts w:ascii="Arial" w:eastAsia="Times" w:hAnsi="Arial" w:cs="Arial"/>
        </w:rPr>
        <w:t>I</w:t>
      </w:r>
      <w:r w:rsidR="00CF178D" w:rsidRPr="007E2B80">
        <w:rPr>
          <w:rFonts w:ascii="Arial" w:eastAsia="Times" w:hAnsi="Arial" w:cs="Arial"/>
        </w:rPr>
        <w:t xml:space="preserve">m Portfolio der Brandmeldetechnik </w:t>
      </w:r>
      <w:r w:rsidR="00CF178D">
        <w:rPr>
          <w:rFonts w:ascii="Arial" w:eastAsia="Times" w:hAnsi="Arial" w:cs="Arial"/>
        </w:rPr>
        <w:t xml:space="preserve">vereint Honeywell </w:t>
      </w:r>
      <w:r w:rsidR="00CF178D" w:rsidRPr="007E2B80">
        <w:rPr>
          <w:rFonts w:ascii="Arial" w:eastAsia="Times" w:hAnsi="Arial" w:cs="Arial"/>
        </w:rPr>
        <w:t>die Produktmarken ESSER, NOTIFIER und Morley-IAS</w:t>
      </w:r>
      <w:r w:rsidR="00C61CC6">
        <w:rPr>
          <w:rFonts w:ascii="Arial" w:eastAsia="Times" w:hAnsi="Arial" w:cs="Arial"/>
        </w:rPr>
        <w:t>.</w:t>
      </w:r>
    </w:p>
    <w:p w:rsidR="004D3EE3" w:rsidRDefault="004D3EE3" w:rsidP="004D3EE3">
      <w:pPr>
        <w:pStyle w:val="NurText"/>
        <w:spacing w:line="360" w:lineRule="auto"/>
        <w:jc w:val="both"/>
        <w:rPr>
          <w:rFonts w:ascii="Arial" w:eastAsia="Times" w:hAnsi="Arial" w:cs="Arial"/>
        </w:rPr>
      </w:pPr>
    </w:p>
    <w:p w:rsidR="004D3EE3" w:rsidRPr="007E2B80" w:rsidRDefault="004D3EE3" w:rsidP="004D3EE3">
      <w:pPr>
        <w:pStyle w:val="NurText"/>
        <w:spacing w:line="360" w:lineRule="auto"/>
        <w:jc w:val="both"/>
        <w:rPr>
          <w:rFonts w:ascii="Arial" w:eastAsia="Times" w:hAnsi="Arial" w:cs="Arial"/>
        </w:rPr>
      </w:pPr>
      <w:r w:rsidRPr="007E2B80">
        <w:rPr>
          <w:rFonts w:ascii="Arial" w:eastAsia="Times" w:hAnsi="Arial" w:cs="Arial"/>
        </w:rPr>
        <w:t>René Tepaß begann seine Ausbildung 1989 bei der vormaligen Esser Sicherheitstechnik GmbH</w:t>
      </w:r>
      <w:r>
        <w:rPr>
          <w:rFonts w:ascii="Arial" w:eastAsia="Times" w:hAnsi="Arial" w:cs="Arial"/>
        </w:rPr>
        <w:t xml:space="preserve"> in Neuss, </w:t>
      </w:r>
      <w:r w:rsidR="009E1EA0">
        <w:rPr>
          <w:rFonts w:ascii="Arial" w:eastAsia="Times" w:hAnsi="Arial" w:cs="Arial"/>
        </w:rPr>
        <w:t xml:space="preserve">die seit 2005 zu Honeywell gehört. Dort ist er </w:t>
      </w:r>
      <w:r>
        <w:rPr>
          <w:rFonts w:ascii="Arial" w:eastAsia="Times" w:hAnsi="Arial" w:cs="Arial"/>
        </w:rPr>
        <w:t>seit 2012 für das Produktmanagement im Bereich Brandmeldetechnik und Sprachalarmierung verantwortlich</w:t>
      </w:r>
      <w:r w:rsidRPr="007E2B80">
        <w:rPr>
          <w:rFonts w:ascii="Arial" w:eastAsia="Times" w:hAnsi="Arial" w:cs="Arial"/>
        </w:rPr>
        <w:t>.</w:t>
      </w:r>
      <w:r>
        <w:rPr>
          <w:rFonts w:ascii="Arial" w:eastAsia="Times" w:hAnsi="Arial" w:cs="Arial"/>
        </w:rPr>
        <w:t xml:space="preserve"> </w:t>
      </w:r>
      <w:r w:rsidRPr="007E2B80">
        <w:rPr>
          <w:rFonts w:ascii="Arial" w:eastAsia="Times" w:hAnsi="Arial" w:cs="Arial"/>
        </w:rPr>
        <w:t xml:space="preserve">Seine langjährige Erfahrung </w:t>
      </w:r>
      <w:r>
        <w:rPr>
          <w:rFonts w:ascii="Arial" w:eastAsia="Times" w:hAnsi="Arial" w:cs="Arial"/>
        </w:rPr>
        <w:t>i</w:t>
      </w:r>
      <w:r w:rsidRPr="007E2B80">
        <w:rPr>
          <w:rFonts w:ascii="Arial" w:eastAsia="Times" w:hAnsi="Arial" w:cs="Arial"/>
        </w:rPr>
        <w:t xml:space="preserve">m </w:t>
      </w:r>
      <w:r>
        <w:rPr>
          <w:rFonts w:ascii="Arial" w:eastAsia="Times" w:hAnsi="Arial" w:cs="Arial"/>
        </w:rPr>
        <w:t>technischen Marketing</w:t>
      </w:r>
      <w:r w:rsidRPr="007E2B80">
        <w:rPr>
          <w:rFonts w:ascii="Arial" w:eastAsia="Times" w:hAnsi="Arial" w:cs="Arial"/>
        </w:rPr>
        <w:t xml:space="preserve"> </w:t>
      </w:r>
      <w:r>
        <w:rPr>
          <w:rFonts w:ascii="Arial" w:eastAsia="Times" w:hAnsi="Arial" w:cs="Arial"/>
        </w:rPr>
        <w:t xml:space="preserve">wird neben seinen zusätzlichen Qualifikationen dazu beitragen, </w:t>
      </w:r>
      <w:r w:rsidRPr="007E2B80">
        <w:rPr>
          <w:rFonts w:ascii="Arial" w:eastAsia="Times" w:hAnsi="Arial" w:cs="Arial"/>
        </w:rPr>
        <w:t xml:space="preserve">die komplexe Aufgabe erfolgreich anzugehen.  </w:t>
      </w:r>
    </w:p>
    <w:p w:rsidR="004D3EE3" w:rsidRPr="007E2B80" w:rsidRDefault="004D3EE3" w:rsidP="004D3EE3">
      <w:pPr>
        <w:pStyle w:val="NurText"/>
        <w:spacing w:line="360" w:lineRule="auto"/>
        <w:jc w:val="both"/>
        <w:rPr>
          <w:rFonts w:ascii="Arial" w:eastAsia="Times" w:hAnsi="Arial" w:cs="Arial"/>
        </w:rPr>
      </w:pPr>
    </w:p>
    <w:p w:rsidR="004D3EE3" w:rsidRDefault="004D3EE3" w:rsidP="004D3EE3">
      <w:pPr>
        <w:spacing w:line="360" w:lineRule="auto"/>
        <w:jc w:val="both"/>
        <w:rPr>
          <w:rFonts w:ascii="Arial" w:hAnsi="Arial" w:cs="Arial"/>
          <w:lang w:val="de-DE"/>
        </w:rPr>
      </w:pPr>
      <w:r w:rsidRPr="004D3EE3">
        <w:rPr>
          <w:rFonts w:ascii="Arial" w:hAnsi="Arial" w:cs="Arial"/>
          <w:lang w:val="de-DE"/>
        </w:rPr>
        <w:t xml:space="preserve">Mit der Maßnahme verfolgt </w:t>
      </w:r>
      <w:r w:rsidR="00AE573A">
        <w:rPr>
          <w:rFonts w:ascii="Arial" w:hAnsi="Arial" w:cs="Arial"/>
          <w:lang w:val="de-DE"/>
        </w:rPr>
        <w:t xml:space="preserve">der </w:t>
      </w:r>
      <w:r w:rsidRPr="004D3EE3">
        <w:rPr>
          <w:rFonts w:ascii="Arial" w:hAnsi="Arial" w:cs="Arial"/>
          <w:lang w:val="de-DE"/>
        </w:rPr>
        <w:t xml:space="preserve">Honeywell-Konzern weiterhin konsequent eines seiner wichtigsten Ziele: die dauerhafte Kundenbindung mit dem Bestreben, gemeinsam auch weiterhin erfolgreich am Markt zu agieren und </w:t>
      </w:r>
      <w:r w:rsidR="00C61CC6">
        <w:rPr>
          <w:rFonts w:ascii="Arial" w:hAnsi="Arial" w:cs="Arial"/>
          <w:lang w:val="de-DE"/>
        </w:rPr>
        <w:t>in seiner</w:t>
      </w:r>
      <w:r w:rsidRPr="004D3EE3">
        <w:rPr>
          <w:rFonts w:ascii="Arial" w:hAnsi="Arial" w:cs="Arial"/>
          <w:lang w:val="de-DE"/>
        </w:rPr>
        <w:t xml:space="preserve"> marktführende</w:t>
      </w:r>
      <w:r w:rsidR="00C61CC6">
        <w:rPr>
          <w:rFonts w:ascii="Arial" w:hAnsi="Arial" w:cs="Arial"/>
          <w:lang w:val="de-DE"/>
        </w:rPr>
        <w:t>n</w:t>
      </w:r>
      <w:r w:rsidRPr="004D3EE3">
        <w:rPr>
          <w:rFonts w:ascii="Arial" w:hAnsi="Arial" w:cs="Arial"/>
          <w:lang w:val="de-DE"/>
        </w:rPr>
        <w:t xml:space="preserve"> Position den Anspruch als Experte für Sicherheit im Gebäude zu untermauern. </w:t>
      </w:r>
      <w:r w:rsidRPr="00C61CC6">
        <w:rPr>
          <w:rFonts w:ascii="Arial" w:hAnsi="Arial" w:cs="Arial"/>
          <w:lang w:val="de-DE"/>
        </w:rPr>
        <w:t>■</w:t>
      </w:r>
    </w:p>
    <w:p w:rsidR="00AD55E0" w:rsidRPr="00C61CC6" w:rsidRDefault="00AD55E0" w:rsidP="00880F13">
      <w:pPr>
        <w:spacing w:after="0"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-------------------------------------------------------------------------------------------------------------------------------</w:t>
      </w:r>
    </w:p>
    <w:p w:rsidR="007B78ED" w:rsidRPr="00880F13" w:rsidRDefault="004D3EE3" w:rsidP="00880F13">
      <w:p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val="de-DE"/>
        </w:rPr>
      </w:pPr>
      <w:r w:rsidRPr="00AD55E0">
        <w:rPr>
          <w:rFonts w:ascii="Arial" w:hAnsi="Arial" w:cs="Arial"/>
          <w:b/>
          <w:i/>
          <w:sz w:val="20"/>
          <w:szCs w:val="20"/>
          <w:lang w:val="de-DE"/>
        </w:rPr>
        <w:t>1</w:t>
      </w:r>
      <w:r w:rsidR="00AD55E0" w:rsidRPr="00AD55E0">
        <w:rPr>
          <w:rFonts w:ascii="Arial" w:hAnsi="Arial" w:cs="Arial"/>
          <w:b/>
          <w:i/>
          <w:sz w:val="20"/>
          <w:szCs w:val="20"/>
          <w:lang w:val="de-DE"/>
        </w:rPr>
        <w:t>4</w:t>
      </w:r>
      <w:r w:rsidR="00C00A51">
        <w:rPr>
          <w:rFonts w:ascii="Arial" w:hAnsi="Arial" w:cs="Arial"/>
          <w:b/>
          <w:i/>
          <w:sz w:val="20"/>
          <w:szCs w:val="20"/>
          <w:lang w:val="de-DE"/>
        </w:rPr>
        <w:t>41</w:t>
      </w:r>
      <w:bookmarkStart w:id="0" w:name="_GoBack"/>
      <w:bookmarkEnd w:id="0"/>
      <w:r w:rsidR="00880F13">
        <w:rPr>
          <w:rFonts w:ascii="Arial" w:hAnsi="Arial" w:cs="Arial"/>
          <w:b/>
          <w:i/>
          <w:sz w:val="20"/>
          <w:szCs w:val="20"/>
          <w:lang w:val="de-DE"/>
        </w:rPr>
        <w:t xml:space="preserve"> Zeichen (inkl. Leerzeichen</w:t>
      </w:r>
    </w:p>
    <w:p w:rsidR="00C00A51" w:rsidRDefault="00C00A51" w:rsidP="00C00A51">
      <w:pPr>
        <w:spacing w:line="360" w:lineRule="auto"/>
        <w:rPr>
          <w:rFonts w:ascii="Arial" w:hAnsi="Arial" w:cs="Arial"/>
          <w:color w:val="000000"/>
          <w:u w:val="single"/>
        </w:rPr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59264" behindDoc="1" locked="0" layoutInCell="1" allowOverlap="1" wp14:anchorId="593B1ECB" wp14:editId="4C193912">
            <wp:simplePos x="0" y="0"/>
            <wp:positionH relativeFrom="margin">
              <wp:posOffset>2725420</wp:posOffset>
            </wp:positionH>
            <wp:positionV relativeFrom="paragraph">
              <wp:posOffset>0</wp:posOffset>
            </wp:positionV>
            <wp:extent cx="3608070" cy="3102610"/>
            <wp:effectExtent l="0" t="0" r="0" b="2540"/>
            <wp:wrapTight wrapText="bothSides">
              <wp:wrapPolygon edited="0">
                <wp:start x="0" y="0"/>
                <wp:lineTo x="0" y="21485"/>
                <wp:lineTo x="21440" y="21485"/>
                <wp:lineTo x="2144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070" cy="310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F13" w:rsidRPr="00565D73"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59ECDC35" wp14:editId="6EC8C6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81275" cy="3103022"/>
            <wp:effectExtent l="0" t="0" r="0" b="2540"/>
            <wp:wrapTight wrapText="bothSides">
              <wp:wrapPolygon edited="0">
                <wp:start x="0" y="0"/>
                <wp:lineTo x="0" y="21485"/>
                <wp:lineTo x="21361" y="21485"/>
                <wp:lineTo x="2136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10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u w:val="single"/>
        </w:rPr>
        <w:t xml:space="preserve"> </w:t>
      </w:r>
    </w:p>
    <w:p w:rsidR="00880F13" w:rsidRPr="00CF4EA6" w:rsidRDefault="00880F13" w:rsidP="00C00A51">
      <w:pPr>
        <w:spacing w:line="360" w:lineRule="auto"/>
        <w:rPr>
          <w:rFonts w:ascii="Arial" w:hAnsi="Arial" w:cs="Arial"/>
          <w:color w:val="707070"/>
          <w:sz w:val="18"/>
          <w:szCs w:val="18"/>
        </w:rPr>
      </w:pPr>
      <w:r>
        <w:rPr>
          <w:rFonts w:ascii="Arial" w:hAnsi="Arial" w:cs="Arial"/>
          <w:i/>
          <w:color w:val="000000"/>
          <w:sz w:val="20"/>
          <w:u w:val="single"/>
        </w:rPr>
        <w:t xml:space="preserve">René </w:t>
      </w:r>
      <w:proofErr w:type="gramStart"/>
      <w:r>
        <w:rPr>
          <w:rFonts w:ascii="Arial" w:hAnsi="Arial" w:cs="Arial"/>
          <w:i/>
          <w:color w:val="000000"/>
          <w:sz w:val="20"/>
          <w:u w:val="single"/>
        </w:rPr>
        <w:t>Tepaß</w:t>
      </w:r>
      <w:r w:rsidRPr="00CF4EA6">
        <w:rPr>
          <w:rFonts w:ascii="Arial" w:hAnsi="Arial" w:cs="Arial"/>
          <w:i/>
          <w:color w:val="000000"/>
          <w:sz w:val="20"/>
          <w:u w:val="single"/>
        </w:rPr>
        <w:t xml:space="preserve">  -</w:t>
      </w:r>
      <w:proofErr w:type="gramEnd"/>
      <w:r w:rsidRPr="00CF4EA6">
        <w:rPr>
          <w:rFonts w:ascii="Arial" w:hAnsi="Arial" w:cs="Arial"/>
          <w:i/>
          <w:color w:val="000000"/>
          <w:sz w:val="20"/>
          <w:u w:val="single"/>
        </w:rPr>
        <w:t xml:space="preserve">  </w:t>
      </w:r>
      <w:proofErr w:type="spellStart"/>
      <w:r>
        <w:rPr>
          <w:rFonts w:ascii="Arial" w:hAnsi="Arial" w:cs="Arial"/>
          <w:i/>
          <w:color w:val="000000"/>
          <w:sz w:val="20"/>
          <w:u w:val="single"/>
        </w:rPr>
        <w:t>Marketingleiter</w:t>
      </w:r>
      <w:proofErr w:type="spellEnd"/>
      <w:r>
        <w:rPr>
          <w:rFonts w:ascii="Arial" w:hAnsi="Arial" w:cs="Arial"/>
          <w:i/>
          <w:color w:val="000000"/>
          <w:sz w:val="20"/>
          <w:u w:val="single"/>
        </w:rPr>
        <w:t xml:space="preserve"> HSF Deutschland</w:t>
      </w:r>
    </w:p>
    <w:p w:rsidR="00880F13" w:rsidRDefault="00880F13" w:rsidP="00880F13">
      <w:pPr>
        <w:rPr>
          <w:rFonts w:ascii="Arial" w:hAnsi="Arial" w:cs="Arial"/>
          <w:color w:val="707070"/>
          <w:sz w:val="18"/>
          <w:szCs w:val="18"/>
        </w:rPr>
      </w:pPr>
      <w:r w:rsidRPr="00CF4EA6">
        <w:rPr>
          <w:rFonts w:ascii="Arial" w:hAnsi="Arial" w:cs="Arial"/>
          <w:b/>
          <w:bCs/>
          <w:color w:val="707070"/>
          <w:sz w:val="18"/>
          <w:szCs w:val="18"/>
        </w:rPr>
        <w:t>Honey</w:t>
      </w:r>
      <w:r>
        <w:rPr>
          <w:rFonts w:ascii="Arial" w:hAnsi="Arial" w:cs="Arial"/>
          <w:b/>
          <w:bCs/>
          <w:color w:val="707070"/>
          <w:sz w:val="18"/>
          <w:szCs w:val="18"/>
        </w:rPr>
        <w:t>well</w:t>
      </w:r>
      <w:r>
        <w:rPr>
          <w:rFonts w:ascii="Arial" w:hAnsi="Arial" w:cs="Arial"/>
          <w:color w:val="707070"/>
          <w:sz w:val="18"/>
          <w:szCs w:val="18"/>
        </w:rPr>
        <w:t xml:space="preserve"> I Security and Fire </w:t>
      </w:r>
    </w:p>
    <w:p w:rsidR="00880F13" w:rsidRPr="00CF4EA6" w:rsidRDefault="00880F13" w:rsidP="00880F13">
      <w:p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u w:val="single"/>
        </w:rPr>
      </w:pPr>
    </w:p>
    <w:p w:rsidR="00880F13" w:rsidRPr="00CF4EA6" w:rsidRDefault="00880F13" w:rsidP="00880F13">
      <w:pPr>
        <w:tabs>
          <w:tab w:val="left" w:pos="142"/>
        </w:tabs>
        <w:autoSpaceDE w:val="0"/>
        <w:autoSpaceDN w:val="0"/>
        <w:adjustRightInd w:val="0"/>
        <w:rPr>
          <w:rFonts w:ascii="Arial" w:eastAsia="Times New Roman" w:hAnsi="Arial" w:cs="Arial"/>
          <w:i/>
          <w:sz w:val="20"/>
        </w:rPr>
      </w:pPr>
    </w:p>
    <w:p w:rsidR="00880F13" w:rsidRPr="00CF4EA6" w:rsidRDefault="00880F13" w:rsidP="00880F13">
      <w:pPr>
        <w:spacing w:line="360" w:lineRule="auto"/>
        <w:rPr>
          <w:rFonts w:ascii="Arial" w:hAnsi="Arial"/>
          <w:b/>
          <w:sz w:val="20"/>
        </w:rPr>
      </w:pPr>
    </w:p>
    <w:p w:rsidR="00880F13" w:rsidRPr="00880F13" w:rsidRDefault="00880F13" w:rsidP="00880F13">
      <w:pPr>
        <w:spacing w:line="360" w:lineRule="auto"/>
        <w:rPr>
          <w:rFonts w:ascii="Arial" w:hAnsi="Arial"/>
          <w:sz w:val="20"/>
          <w:lang w:val="de-DE"/>
        </w:rPr>
      </w:pPr>
      <w:r w:rsidRPr="00880F13">
        <w:rPr>
          <w:rFonts w:ascii="Arial" w:hAnsi="Arial"/>
          <w:b/>
          <w:sz w:val="20"/>
          <w:lang w:val="de-DE"/>
        </w:rPr>
        <w:t>Hinweis</w:t>
      </w:r>
      <w:r w:rsidRPr="00880F13">
        <w:rPr>
          <w:rFonts w:ascii="Arial" w:hAnsi="Arial"/>
          <w:b/>
          <w:lang w:val="de-DE"/>
        </w:rPr>
        <w:t xml:space="preserve">: </w:t>
      </w:r>
      <w:r w:rsidRPr="00880F13">
        <w:rPr>
          <w:rFonts w:ascii="Arial" w:hAnsi="Arial"/>
          <w:sz w:val="20"/>
          <w:lang w:val="de-DE"/>
        </w:rPr>
        <w:t xml:space="preserve">Die Textdaten und Feindaten können unter </w:t>
      </w:r>
      <w:hyperlink r:id="rId11" w:history="1">
        <w:r w:rsidRPr="00880F13">
          <w:rPr>
            <w:rStyle w:val="Hyperlink"/>
            <w:rFonts w:ascii="Arial" w:hAnsi="Arial"/>
            <w:sz w:val="20"/>
            <w:lang w:val="de-DE"/>
          </w:rPr>
          <w:t>www.esser-systems.com</w:t>
        </w:r>
      </w:hyperlink>
      <w:r w:rsidRPr="00880F13">
        <w:rPr>
          <w:rFonts w:ascii="Arial" w:hAnsi="Arial"/>
          <w:sz w:val="20"/>
          <w:lang w:val="de-DE"/>
        </w:rPr>
        <w:t xml:space="preserve"> im Bereich Service / Presse, unter dem Stichwort „Pressemitteilungen“, heruntergeladen werden. </w:t>
      </w:r>
    </w:p>
    <w:p w:rsidR="0048024C" w:rsidRPr="007B78ED" w:rsidRDefault="0048024C">
      <w:pPr>
        <w:rPr>
          <w:rFonts w:ascii="Arial" w:hAnsi="Arial"/>
          <w:b/>
          <w:sz w:val="20"/>
          <w:lang w:val="de-DE"/>
        </w:rPr>
      </w:pPr>
      <w:r w:rsidRPr="007B78ED">
        <w:rPr>
          <w:rFonts w:ascii="Arial" w:hAnsi="Arial"/>
          <w:b/>
          <w:sz w:val="20"/>
          <w:lang w:val="de-DE"/>
        </w:rPr>
        <w:br w:type="page"/>
      </w:r>
    </w:p>
    <w:p w:rsidR="00F74EFA" w:rsidRPr="00C472B8" w:rsidRDefault="00681937" w:rsidP="0048024C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Arial" w:hAnsi="Arial" w:cs="Arial"/>
          <w:color w:val="000000"/>
          <w:sz w:val="18"/>
          <w:szCs w:val="18"/>
          <w:lang w:val="de-DE"/>
        </w:rPr>
      </w:pPr>
      <w:r w:rsidRPr="00F74EFA">
        <w:rPr>
          <w:rFonts w:ascii="Arial" w:hAnsi="Arial" w:cs="Arial"/>
          <w:color w:val="000000"/>
          <w:sz w:val="18"/>
          <w:szCs w:val="18"/>
          <w:lang w:val="de-DE"/>
        </w:rPr>
        <w:lastRenderedPageBreak/>
        <w:t xml:space="preserve">Honeywell </w:t>
      </w:r>
      <w:r w:rsidR="00F74EFA" w:rsidRPr="00F74EF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F74EFA">
        <w:rPr>
          <w:rFonts w:ascii="Arial" w:hAnsi="Arial" w:cs="Arial"/>
          <w:color w:val="000000"/>
          <w:sz w:val="18"/>
          <w:szCs w:val="18"/>
          <w:lang w:val="de-DE"/>
        </w:rPr>
        <w:t>(</w:t>
      </w:r>
      <w:hyperlink r:id="rId12" w:tooltip="http://www.honeywell.com/" w:history="1">
        <w:r w:rsidRPr="00F74EFA">
          <w:rPr>
            <w:rFonts w:ascii="Arial" w:hAnsi="Arial" w:cs="Arial"/>
            <w:color w:val="000000"/>
            <w:sz w:val="18"/>
            <w:szCs w:val="18"/>
            <w:lang w:val="de-DE"/>
          </w:rPr>
          <w:t>www.honeywell.com</w:t>
        </w:r>
      </w:hyperlink>
      <w:r w:rsidRPr="00F74EFA">
        <w:rPr>
          <w:rFonts w:ascii="Arial" w:hAnsi="Arial" w:cs="Arial"/>
          <w:color w:val="000000"/>
          <w:sz w:val="18"/>
          <w:szCs w:val="18"/>
          <w:lang w:val="de-DE"/>
        </w:rPr>
        <w:t xml:space="preserve">) ist ein </w:t>
      </w:r>
      <w:r w:rsidR="00F74EFA">
        <w:rPr>
          <w:rFonts w:ascii="Arial" w:hAnsi="Arial" w:cs="Arial"/>
          <w:color w:val="000000"/>
          <w:sz w:val="18"/>
          <w:szCs w:val="18"/>
          <w:lang w:val="de-DE"/>
        </w:rPr>
        <w:t xml:space="preserve">führendes </w:t>
      </w:r>
      <w:r w:rsidRPr="00F74EFA">
        <w:rPr>
          <w:rFonts w:ascii="Arial" w:hAnsi="Arial" w:cs="Arial"/>
          <w:color w:val="000000"/>
          <w:sz w:val="18"/>
          <w:szCs w:val="18"/>
          <w:lang w:val="de-DE"/>
        </w:rPr>
        <w:t>Fortune 100-</w:t>
      </w:r>
      <w:r w:rsidR="00F74EFA">
        <w:rPr>
          <w:rFonts w:ascii="Arial" w:hAnsi="Arial" w:cs="Arial"/>
          <w:color w:val="000000"/>
          <w:sz w:val="18"/>
          <w:szCs w:val="18"/>
          <w:lang w:val="de-DE"/>
        </w:rPr>
        <w:t>Unternehmen</w:t>
      </w:r>
      <w:r w:rsidRPr="00F74EFA">
        <w:rPr>
          <w:rFonts w:ascii="Arial" w:hAnsi="Arial" w:cs="Arial"/>
          <w:color w:val="000000"/>
          <w:sz w:val="18"/>
          <w:szCs w:val="18"/>
          <w:lang w:val="de-DE"/>
        </w:rPr>
        <w:t>, d</w:t>
      </w:r>
      <w:r w:rsidR="00F74EFA">
        <w:rPr>
          <w:rFonts w:ascii="Arial" w:hAnsi="Arial" w:cs="Arial"/>
          <w:color w:val="000000"/>
          <w:sz w:val="18"/>
          <w:szCs w:val="18"/>
          <w:lang w:val="de-DE"/>
        </w:rPr>
        <w:t>as</w:t>
      </w:r>
      <w:r w:rsidRPr="00F74EFA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="00F74EFA">
        <w:rPr>
          <w:rFonts w:ascii="Arial" w:hAnsi="Arial" w:cs="Arial"/>
          <w:color w:val="000000"/>
          <w:sz w:val="18"/>
          <w:szCs w:val="18"/>
          <w:lang w:val="de-DE"/>
        </w:rPr>
        <w:t xml:space="preserve">mit seinem diversifizierten </w:t>
      </w:r>
      <w:r w:rsidR="00D520A7">
        <w:rPr>
          <w:rFonts w:ascii="Arial" w:hAnsi="Arial" w:cs="Arial"/>
          <w:color w:val="000000"/>
          <w:sz w:val="18"/>
          <w:szCs w:val="18"/>
          <w:lang w:val="de-DE"/>
        </w:rPr>
        <w:t>P</w:t>
      </w:r>
      <w:r w:rsidR="00F74EFA">
        <w:rPr>
          <w:rFonts w:ascii="Arial" w:hAnsi="Arial" w:cs="Arial"/>
          <w:color w:val="000000"/>
          <w:sz w:val="18"/>
          <w:szCs w:val="18"/>
          <w:lang w:val="de-DE"/>
        </w:rPr>
        <w:t xml:space="preserve">ortfolio für die Bereiche </w:t>
      </w:r>
      <w:r w:rsidRPr="00F74EFA">
        <w:rPr>
          <w:rFonts w:ascii="Arial" w:hAnsi="Arial" w:cs="Arial"/>
          <w:color w:val="000000"/>
          <w:sz w:val="18"/>
          <w:szCs w:val="18"/>
          <w:lang w:val="de-DE"/>
        </w:rPr>
        <w:t xml:space="preserve">Technologie und </w:t>
      </w:r>
      <w:r w:rsidR="00F74EFA">
        <w:rPr>
          <w:rFonts w:ascii="Arial" w:hAnsi="Arial" w:cs="Arial"/>
          <w:color w:val="000000"/>
          <w:sz w:val="18"/>
          <w:szCs w:val="18"/>
          <w:lang w:val="de-DE"/>
        </w:rPr>
        <w:t>Fertigung weltweit</w:t>
      </w:r>
      <w:r w:rsidRPr="00F74EFA">
        <w:rPr>
          <w:rFonts w:ascii="Arial" w:hAnsi="Arial" w:cs="Arial"/>
          <w:color w:val="000000"/>
          <w:sz w:val="18"/>
          <w:szCs w:val="18"/>
          <w:lang w:val="de-DE"/>
        </w:rPr>
        <w:t xml:space="preserve"> Kunden </w:t>
      </w:r>
      <w:r w:rsidR="00F74EFA" w:rsidRPr="00F74EFA">
        <w:rPr>
          <w:rFonts w:ascii="Arial" w:hAnsi="Arial" w:cs="Arial"/>
          <w:color w:val="000000"/>
          <w:sz w:val="18"/>
          <w:szCs w:val="18"/>
          <w:lang w:val="de-DE"/>
        </w:rPr>
        <w:t>beliefert</w:t>
      </w:r>
      <w:r w:rsidR="00F74EFA">
        <w:rPr>
          <w:rFonts w:ascii="Arial" w:hAnsi="Arial" w:cs="Arial"/>
          <w:color w:val="000000"/>
          <w:sz w:val="18"/>
          <w:szCs w:val="18"/>
          <w:lang w:val="de-DE"/>
        </w:rPr>
        <w:t xml:space="preserve">. </w:t>
      </w:r>
      <w:r w:rsidR="00D520A7">
        <w:rPr>
          <w:rFonts w:ascii="Arial" w:hAnsi="Arial" w:cs="Arial"/>
          <w:color w:val="000000"/>
          <w:sz w:val="18"/>
          <w:szCs w:val="18"/>
          <w:lang w:val="de-DE"/>
        </w:rPr>
        <w:t xml:space="preserve">Zum Portfolio zählen </w:t>
      </w:r>
      <w:r w:rsidRPr="00F74EFA">
        <w:rPr>
          <w:rFonts w:ascii="Arial" w:hAnsi="Arial" w:cs="Arial"/>
          <w:color w:val="000000"/>
          <w:sz w:val="18"/>
          <w:szCs w:val="18"/>
          <w:lang w:val="de-DE"/>
        </w:rPr>
        <w:t xml:space="preserve">Luftfahrtprodukte und -dienstleistungen, </w:t>
      </w:r>
      <w:r w:rsidR="00D520A7">
        <w:rPr>
          <w:rFonts w:ascii="Arial" w:hAnsi="Arial" w:cs="Arial"/>
          <w:color w:val="000000"/>
          <w:sz w:val="18"/>
          <w:szCs w:val="18"/>
          <w:lang w:val="de-DE"/>
        </w:rPr>
        <w:t xml:space="preserve">Technologien für die </w:t>
      </w:r>
      <w:r w:rsidRPr="00F74EFA">
        <w:rPr>
          <w:rFonts w:ascii="Arial" w:hAnsi="Arial" w:cs="Arial"/>
          <w:color w:val="000000"/>
          <w:sz w:val="18"/>
          <w:szCs w:val="18"/>
          <w:lang w:val="de-DE"/>
        </w:rPr>
        <w:t>Gebäude</w:t>
      </w:r>
      <w:r w:rsidR="00D520A7">
        <w:rPr>
          <w:rFonts w:ascii="Arial" w:hAnsi="Arial" w:cs="Arial"/>
          <w:color w:val="000000"/>
          <w:sz w:val="18"/>
          <w:szCs w:val="18"/>
          <w:lang w:val="de-DE"/>
        </w:rPr>
        <w:t>technik</w:t>
      </w:r>
      <w:r w:rsidRPr="00F74EFA">
        <w:rPr>
          <w:rFonts w:ascii="Arial" w:hAnsi="Arial" w:cs="Arial"/>
          <w:color w:val="000000"/>
          <w:sz w:val="18"/>
          <w:szCs w:val="18"/>
          <w:lang w:val="de-DE"/>
        </w:rPr>
        <w:t xml:space="preserve"> (privat und kommerziell), Produkte für die Automobilindustrie, Turbolade</w:t>
      </w:r>
      <w:r w:rsidR="00D520A7">
        <w:rPr>
          <w:rFonts w:ascii="Arial" w:hAnsi="Arial" w:cs="Arial"/>
          <w:color w:val="000000"/>
          <w:sz w:val="18"/>
          <w:szCs w:val="18"/>
          <w:lang w:val="de-DE"/>
        </w:rPr>
        <w:t xml:space="preserve">r </w:t>
      </w:r>
      <w:r w:rsidRPr="00F74EFA">
        <w:rPr>
          <w:rFonts w:ascii="Arial" w:hAnsi="Arial" w:cs="Arial"/>
          <w:color w:val="000000"/>
          <w:sz w:val="18"/>
          <w:szCs w:val="18"/>
          <w:lang w:val="de-DE"/>
        </w:rPr>
        <w:t>sowie Spezialmaterialien.</w:t>
      </w:r>
      <w:r w:rsidR="0048024C">
        <w:rPr>
          <w:rFonts w:ascii="Arial" w:hAnsi="Arial" w:cs="Arial"/>
          <w:color w:val="000000"/>
          <w:sz w:val="18"/>
          <w:szCs w:val="18"/>
          <w:lang w:val="de-DE"/>
        </w:rPr>
        <w:t xml:space="preserve"> </w:t>
      </w:r>
      <w:r w:rsidRPr="00C472B8">
        <w:rPr>
          <w:rFonts w:ascii="Arial" w:hAnsi="Arial" w:cs="Arial"/>
          <w:color w:val="000000"/>
          <w:sz w:val="18"/>
          <w:szCs w:val="18"/>
          <w:lang w:val="de-DE"/>
        </w:rPr>
        <w:t xml:space="preserve">Weitere Informationen finden Sie unter </w:t>
      </w:r>
      <w:hyperlink r:id="rId13" w:history="1">
        <w:r w:rsidR="0048024C" w:rsidRPr="00C472B8">
          <w:rPr>
            <w:rStyle w:val="Hyperlink"/>
            <w:rFonts w:ascii="Arial" w:hAnsi="Arial" w:cs="Arial"/>
            <w:sz w:val="18"/>
            <w:szCs w:val="18"/>
            <w:lang w:val="de-DE"/>
          </w:rPr>
          <w:t>www.honeywell.com/newsroom</w:t>
        </w:r>
      </w:hyperlink>
      <w:r w:rsidR="0048024C" w:rsidRPr="00C472B8">
        <w:rPr>
          <w:rFonts w:ascii="Arial" w:hAnsi="Arial" w:cs="Arial"/>
          <w:color w:val="000000"/>
          <w:sz w:val="18"/>
          <w:szCs w:val="18"/>
          <w:lang w:val="de-DE"/>
        </w:rPr>
        <w:t>.</w:t>
      </w:r>
    </w:p>
    <w:p w:rsidR="0048024C" w:rsidRPr="00C472B8" w:rsidRDefault="0048024C" w:rsidP="0048024C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Arial" w:hAnsi="Arial" w:cs="Arial"/>
          <w:color w:val="000000"/>
          <w:sz w:val="18"/>
          <w:szCs w:val="18"/>
          <w:lang w:val="de-DE"/>
        </w:rPr>
      </w:pPr>
    </w:p>
    <w:p w:rsidR="00681937" w:rsidRPr="00C472B8" w:rsidRDefault="00681937" w:rsidP="0048024C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Arial" w:hAnsi="Arial" w:cs="Arial"/>
          <w:i/>
          <w:color w:val="000000"/>
          <w:sz w:val="16"/>
          <w:szCs w:val="18"/>
          <w:lang w:val="de-DE"/>
        </w:rPr>
      </w:pPr>
      <w:r w:rsidRPr="00F74EFA">
        <w:rPr>
          <w:rFonts w:ascii="Arial" w:hAnsi="Arial" w:cs="Arial"/>
          <w:i/>
          <w:color w:val="000000"/>
          <w:sz w:val="16"/>
          <w:szCs w:val="18"/>
          <w:lang w:val="de-DE"/>
        </w:rPr>
        <w:t xml:space="preserve">Diese Veröffentlichung enthält vorausschauende Aussagen gemäß der Definition in Abschnitt 21E des Securities Exchange Act (Wertpapierbörsengesetz) von 1934, einschließlich Informationen zu zukünftigen Geschäftsprozessen, Finanzergebnissen und Marktbedingungen. </w:t>
      </w:r>
      <w:r w:rsidRPr="00C472B8">
        <w:rPr>
          <w:rFonts w:ascii="Arial" w:hAnsi="Arial" w:cs="Arial"/>
          <w:i/>
          <w:color w:val="000000"/>
          <w:sz w:val="16"/>
          <w:szCs w:val="18"/>
          <w:lang w:val="de-DE"/>
        </w:rPr>
        <w:t>Solche vorausschauenden Aussagen enthalten die für Geschäftsprognosen üblichen Risiken und Ungewissheiten wie in den Unterlagen gemäß des Securities Exchange Acts näher beschrieben.</w:t>
      </w:r>
    </w:p>
    <w:p w:rsidR="0048024C" w:rsidRPr="00C472B8" w:rsidRDefault="0048024C" w:rsidP="00F74EFA">
      <w:pPr>
        <w:autoSpaceDE w:val="0"/>
        <w:autoSpaceDN w:val="0"/>
        <w:adjustRightInd w:val="0"/>
        <w:spacing w:after="0" w:line="240" w:lineRule="auto"/>
        <w:ind w:left="360" w:right="288"/>
        <w:jc w:val="both"/>
        <w:rPr>
          <w:rFonts w:ascii="Arial" w:hAnsi="Arial" w:cs="Arial"/>
          <w:i/>
          <w:color w:val="000000"/>
          <w:sz w:val="16"/>
          <w:szCs w:val="18"/>
          <w:lang w:val="de-DE"/>
        </w:rPr>
      </w:pPr>
    </w:p>
    <w:p w:rsidR="003D4C92" w:rsidRPr="00C472B8" w:rsidRDefault="003D4C92" w:rsidP="005F0D52">
      <w:pPr>
        <w:ind w:right="288"/>
        <w:jc w:val="center"/>
        <w:rPr>
          <w:rFonts w:ascii="Arial" w:hAnsi="Arial" w:cs="Arial"/>
          <w:color w:val="000000"/>
          <w:sz w:val="18"/>
          <w:szCs w:val="18"/>
          <w:lang w:val="de-DE"/>
        </w:rPr>
      </w:pPr>
    </w:p>
    <w:p w:rsidR="00161780" w:rsidRPr="00C60A19" w:rsidRDefault="003D4C92" w:rsidP="005F0D52">
      <w:pPr>
        <w:ind w:right="288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###</w:t>
      </w:r>
    </w:p>
    <w:sectPr w:rsidR="00161780" w:rsidRPr="00C60A19" w:rsidSect="003A6857">
      <w:headerReference w:type="default" r:id="rId14"/>
      <w:headerReference w:type="first" r:id="rId15"/>
      <w:pgSz w:w="12240" w:h="15840"/>
      <w:pgMar w:top="2610" w:right="1440" w:bottom="878" w:left="1440" w:header="177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43" w:rsidRDefault="00025843" w:rsidP="00BF0DE0">
      <w:pPr>
        <w:spacing w:after="0" w:line="240" w:lineRule="auto"/>
      </w:pPr>
      <w:r>
        <w:separator/>
      </w:r>
    </w:p>
  </w:endnote>
  <w:endnote w:type="continuationSeparator" w:id="0">
    <w:p w:rsidR="00025843" w:rsidRDefault="00025843" w:rsidP="00BF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43" w:rsidRDefault="00025843" w:rsidP="00BF0DE0">
      <w:pPr>
        <w:spacing w:after="0" w:line="240" w:lineRule="auto"/>
      </w:pPr>
      <w:r>
        <w:separator/>
      </w:r>
    </w:p>
  </w:footnote>
  <w:footnote w:type="continuationSeparator" w:id="0">
    <w:p w:rsidR="00025843" w:rsidRDefault="00025843" w:rsidP="00BF0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DE0" w:rsidRPr="00FC46E4" w:rsidRDefault="00BF0DE0" w:rsidP="003A6857">
    <w:pPr>
      <w:pStyle w:val="AddressBlockBusinessUnit"/>
      <w:tabs>
        <w:tab w:val="left" w:pos="6375"/>
      </w:tabs>
      <w:rPr>
        <w:rFonts w:ascii="HelveticaNeueLT Std" w:hAnsi="HelveticaNeueLT Std" w:cs="HelveticaNeueLT Std"/>
      </w:rPr>
    </w:pPr>
  </w:p>
  <w:p w:rsidR="00BF0DE0" w:rsidRPr="00BF0DE0" w:rsidRDefault="00BF0DE0" w:rsidP="00BF0DE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857" w:rsidRDefault="003A6857">
    <w:pPr>
      <w:pStyle w:val="Kopfzeile"/>
    </w:pPr>
    <w:r w:rsidRPr="003A6857">
      <w:rPr>
        <w:noProof/>
        <w:lang w:val="de-DE" w:eastAsia="de-DE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772400" cy="1828800"/>
          <wp:effectExtent l="0" t="0" r="0" b="0"/>
          <wp:wrapNone/>
          <wp:docPr id="2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23BF4"/>
    <w:multiLevelType w:val="hybridMultilevel"/>
    <w:tmpl w:val="1EF6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E0"/>
    <w:rsid w:val="000002F0"/>
    <w:rsid w:val="0001414B"/>
    <w:rsid w:val="00021642"/>
    <w:rsid w:val="00021A06"/>
    <w:rsid w:val="00025843"/>
    <w:rsid w:val="00034252"/>
    <w:rsid w:val="00035831"/>
    <w:rsid w:val="000540DD"/>
    <w:rsid w:val="0005571C"/>
    <w:rsid w:val="00073421"/>
    <w:rsid w:val="000754D3"/>
    <w:rsid w:val="0008332C"/>
    <w:rsid w:val="0009084A"/>
    <w:rsid w:val="00093212"/>
    <w:rsid w:val="000A0340"/>
    <w:rsid w:val="000A1415"/>
    <w:rsid w:val="000A4CE0"/>
    <w:rsid w:val="000A6C59"/>
    <w:rsid w:val="000B7B20"/>
    <w:rsid w:val="000C49DE"/>
    <w:rsid w:val="000D79C1"/>
    <w:rsid w:val="000E6B76"/>
    <w:rsid w:val="000E7AC6"/>
    <w:rsid w:val="000F4BCF"/>
    <w:rsid w:val="00103631"/>
    <w:rsid w:val="001041B0"/>
    <w:rsid w:val="00106A3F"/>
    <w:rsid w:val="001320CA"/>
    <w:rsid w:val="00135DFB"/>
    <w:rsid w:val="001379B7"/>
    <w:rsid w:val="0014517A"/>
    <w:rsid w:val="001616A5"/>
    <w:rsid w:val="00161780"/>
    <w:rsid w:val="001622C9"/>
    <w:rsid w:val="0016663C"/>
    <w:rsid w:val="00175571"/>
    <w:rsid w:val="001851BC"/>
    <w:rsid w:val="00190B45"/>
    <w:rsid w:val="00194818"/>
    <w:rsid w:val="001A7D39"/>
    <w:rsid w:val="001B166B"/>
    <w:rsid w:val="001E78AB"/>
    <w:rsid w:val="00203D11"/>
    <w:rsid w:val="0020414E"/>
    <w:rsid w:val="00211029"/>
    <w:rsid w:val="00212B61"/>
    <w:rsid w:val="00217A6F"/>
    <w:rsid w:val="002210FE"/>
    <w:rsid w:val="00221E9A"/>
    <w:rsid w:val="00222036"/>
    <w:rsid w:val="002364E7"/>
    <w:rsid w:val="0024456C"/>
    <w:rsid w:val="00245177"/>
    <w:rsid w:val="00247E9E"/>
    <w:rsid w:val="00257CA9"/>
    <w:rsid w:val="002639C0"/>
    <w:rsid w:val="0027071B"/>
    <w:rsid w:val="00280714"/>
    <w:rsid w:val="002816BF"/>
    <w:rsid w:val="002974F3"/>
    <w:rsid w:val="002A44D5"/>
    <w:rsid w:val="002A6665"/>
    <w:rsid w:val="002C4C2D"/>
    <w:rsid w:val="002D5DC8"/>
    <w:rsid w:val="002E72DF"/>
    <w:rsid w:val="002F1445"/>
    <w:rsid w:val="00306D2E"/>
    <w:rsid w:val="00330663"/>
    <w:rsid w:val="00332CB6"/>
    <w:rsid w:val="003450B5"/>
    <w:rsid w:val="0036693F"/>
    <w:rsid w:val="003839DE"/>
    <w:rsid w:val="00385E4D"/>
    <w:rsid w:val="003A2423"/>
    <w:rsid w:val="003A6857"/>
    <w:rsid w:val="003B6738"/>
    <w:rsid w:val="003C2A8A"/>
    <w:rsid w:val="003D4C92"/>
    <w:rsid w:val="003D5D4F"/>
    <w:rsid w:val="003D6337"/>
    <w:rsid w:val="00401DFC"/>
    <w:rsid w:val="00404D8F"/>
    <w:rsid w:val="00404DE7"/>
    <w:rsid w:val="004177B1"/>
    <w:rsid w:val="00431CEC"/>
    <w:rsid w:val="004356EE"/>
    <w:rsid w:val="00437B76"/>
    <w:rsid w:val="00442ED9"/>
    <w:rsid w:val="00450754"/>
    <w:rsid w:val="0045500F"/>
    <w:rsid w:val="00460BE7"/>
    <w:rsid w:val="0047020D"/>
    <w:rsid w:val="004734A0"/>
    <w:rsid w:val="00476D2C"/>
    <w:rsid w:val="0048024C"/>
    <w:rsid w:val="004A5FEF"/>
    <w:rsid w:val="004B368A"/>
    <w:rsid w:val="004C3FB0"/>
    <w:rsid w:val="004C4EBA"/>
    <w:rsid w:val="004D3EE3"/>
    <w:rsid w:val="004E1F56"/>
    <w:rsid w:val="004E5A30"/>
    <w:rsid w:val="00511A78"/>
    <w:rsid w:val="00511CDF"/>
    <w:rsid w:val="005137A1"/>
    <w:rsid w:val="005158D6"/>
    <w:rsid w:val="00517633"/>
    <w:rsid w:val="00580512"/>
    <w:rsid w:val="00580A2A"/>
    <w:rsid w:val="0058723D"/>
    <w:rsid w:val="00590C5C"/>
    <w:rsid w:val="00593BEA"/>
    <w:rsid w:val="005A1146"/>
    <w:rsid w:val="005A1D8F"/>
    <w:rsid w:val="005A21FF"/>
    <w:rsid w:val="005C30C9"/>
    <w:rsid w:val="005F0D52"/>
    <w:rsid w:val="005F1E90"/>
    <w:rsid w:val="005F4DB0"/>
    <w:rsid w:val="0060011D"/>
    <w:rsid w:val="006144B4"/>
    <w:rsid w:val="00614FCE"/>
    <w:rsid w:val="006232C1"/>
    <w:rsid w:val="0062660B"/>
    <w:rsid w:val="006278A9"/>
    <w:rsid w:val="00643913"/>
    <w:rsid w:val="00643E63"/>
    <w:rsid w:val="00650652"/>
    <w:rsid w:val="00681937"/>
    <w:rsid w:val="00696DF5"/>
    <w:rsid w:val="00697A03"/>
    <w:rsid w:val="006A0900"/>
    <w:rsid w:val="006B07C9"/>
    <w:rsid w:val="006C20E5"/>
    <w:rsid w:val="006C7F25"/>
    <w:rsid w:val="006D7333"/>
    <w:rsid w:val="006E2774"/>
    <w:rsid w:val="006F23B2"/>
    <w:rsid w:val="006F4D6D"/>
    <w:rsid w:val="00720644"/>
    <w:rsid w:val="007220AD"/>
    <w:rsid w:val="00762D67"/>
    <w:rsid w:val="007664BA"/>
    <w:rsid w:val="00795F03"/>
    <w:rsid w:val="007A0FE9"/>
    <w:rsid w:val="007A2A8A"/>
    <w:rsid w:val="007B757C"/>
    <w:rsid w:val="007B78ED"/>
    <w:rsid w:val="007C7307"/>
    <w:rsid w:val="007D0DF1"/>
    <w:rsid w:val="007D2BC9"/>
    <w:rsid w:val="007E575D"/>
    <w:rsid w:val="007F07EE"/>
    <w:rsid w:val="00805B1C"/>
    <w:rsid w:val="008133EF"/>
    <w:rsid w:val="00834C0E"/>
    <w:rsid w:val="008357E1"/>
    <w:rsid w:val="00841AEF"/>
    <w:rsid w:val="00841FB3"/>
    <w:rsid w:val="00850C17"/>
    <w:rsid w:val="0085627E"/>
    <w:rsid w:val="00857722"/>
    <w:rsid w:val="00862EC1"/>
    <w:rsid w:val="00870AC6"/>
    <w:rsid w:val="00880F13"/>
    <w:rsid w:val="00883119"/>
    <w:rsid w:val="008907C0"/>
    <w:rsid w:val="00896295"/>
    <w:rsid w:val="00897180"/>
    <w:rsid w:val="008A1A76"/>
    <w:rsid w:val="008A43DE"/>
    <w:rsid w:val="008A4C02"/>
    <w:rsid w:val="008B23D1"/>
    <w:rsid w:val="008C1BD6"/>
    <w:rsid w:val="008E2DA6"/>
    <w:rsid w:val="008F6E0E"/>
    <w:rsid w:val="009302CF"/>
    <w:rsid w:val="0093097C"/>
    <w:rsid w:val="009314C0"/>
    <w:rsid w:val="009333C2"/>
    <w:rsid w:val="00935A70"/>
    <w:rsid w:val="009468B4"/>
    <w:rsid w:val="009675D9"/>
    <w:rsid w:val="00976BEF"/>
    <w:rsid w:val="00982173"/>
    <w:rsid w:val="009950B8"/>
    <w:rsid w:val="00996A23"/>
    <w:rsid w:val="009A37E6"/>
    <w:rsid w:val="009B6D6B"/>
    <w:rsid w:val="009B7751"/>
    <w:rsid w:val="009C62ED"/>
    <w:rsid w:val="009D6F07"/>
    <w:rsid w:val="009E1EA0"/>
    <w:rsid w:val="009F492E"/>
    <w:rsid w:val="009F4C57"/>
    <w:rsid w:val="009F6F45"/>
    <w:rsid w:val="00A02CD2"/>
    <w:rsid w:val="00A2091F"/>
    <w:rsid w:val="00A229E9"/>
    <w:rsid w:val="00A27138"/>
    <w:rsid w:val="00A325FC"/>
    <w:rsid w:val="00A35187"/>
    <w:rsid w:val="00A368EC"/>
    <w:rsid w:val="00A3746A"/>
    <w:rsid w:val="00A4640F"/>
    <w:rsid w:val="00A46B78"/>
    <w:rsid w:val="00A55AF6"/>
    <w:rsid w:val="00A565D1"/>
    <w:rsid w:val="00A56AC9"/>
    <w:rsid w:val="00A56BEE"/>
    <w:rsid w:val="00A615A2"/>
    <w:rsid w:val="00A647D0"/>
    <w:rsid w:val="00A65C1C"/>
    <w:rsid w:val="00A83075"/>
    <w:rsid w:val="00A8542D"/>
    <w:rsid w:val="00A86E08"/>
    <w:rsid w:val="00AA66F3"/>
    <w:rsid w:val="00AB0FC2"/>
    <w:rsid w:val="00AC0E45"/>
    <w:rsid w:val="00AC42C0"/>
    <w:rsid w:val="00AC457C"/>
    <w:rsid w:val="00AD55E0"/>
    <w:rsid w:val="00AE3B41"/>
    <w:rsid w:val="00AE573A"/>
    <w:rsid w:val="00B0184B"/>
    <w:rsid w:val="00B02718"/>
    <w:rsid w:val="00B045C3"/>
    <w:rsid w:val="00B15942"/>
    <w:rsid w:val="00B223AF"/>
    <w:rsid w:val="00B3431B"/>
    <w:rsid w:val="00B36FD5"/>
    <w:rsid w:val="00B41B06"/>
    <w:rsid w:val="00B42DDB"/>
    <w:rsid w:val="00B5213D"/>
    <w:rsid w:val="00B54FDF"/>
    <w:rsid w:val="00B56898"/>
    <w:rsid w:val="00B60033"/>
    <w:rsid w:val="00B614A0"/>
    <w:rsid w:val="00B80BEC"/>
    <w:rsid w:val="00B91D1A"/>
    <w:rsid w:val="00BA47E9"/>
    <w:rsid w:val="00BA74F2"/>
    <w:rsid w:val="00BD55EA"/>
    <w:rsid w:val="00BE503E"/>
    <w:rsid w:val="00BE77D8"/>
    <w:rsid w:val="00BF0DE0"/>
    <w:rsid w:val="00C00A51"/>
    <w:rsid w:val="00C02C45"/>
    <w:rsid w:val="00C1323D"/>
    <w:rsid w:val="00C13F39"/>
    <w:rsid w:val="00C174C6"/>
    <w:rsid w:val="00C20CC0"/>
    <w:rsid w:val="00C46A6A"/>
    <w:rsid w:val="00C472B8"/>
    <w:rsid w:val="00C559D6"/>
    <w:rsid w:val="00C60A19"/>
    <w:rsid w:val="00C61144"/>
    <w:rsid w:val="00C61CC6"/>
    <w:rsid w:val="00C754EC"/>
    <w:rsid w:val="00C77120"/>
    <w:rsid w:val="00C777D8"/>
    <w:rsid w:val="00C937E5"/>
    <w:rsid w:val="00C96ECB"/>
    <w:rsid w:val="00C977B2"/>
    <w:rsid w:val="00CA1F32"/>
    <w:rsid w:val="00CB02A0"/>
    <w:rsid w:val="00CB1540"/>
    <w:rsid w:val="00CB206C"/>
    <w:rsid w:val="00CC2B4F"/>
    <w:rsid w:val="00CC7463"/>
    <w:rsid w:val="00CD2D7F"/>
    <w:rsid w:val="00CD3592"/>
    <w:rsid w:val="00CD5D01"/>
    <w:rsid w:val="00CF178D"/>
    <w:rsid w:val="00D0188D"/>
    <w:rsid w:val="00D22FAA"/>
    <w:rsid w:val="00D2313A"/>
    <w:rsid w:val="00D24AF0"/>
    <w:rsid w:val="00D36F57"/>
    <w:rsid w:val="00D41AE1"/>
    <w:rsid w:val="00D520A7"/>
    <w:rsid w:val="00D533D9"/>
    <w:rsid w:val="00D549C6"/>
    <w:rsid w:val="00D55ABC"/>
    <w:rsid w:val="00D652DD"/>
    <w:rsid w:val="00D70764"/>
    <w:rsid w:val="00D75381"/>
    <w:rsid w:val="00D86AE9"/>
    <w:rsid w:val="00D86D5E"/>
    <w:rsid w:val="00D90BC4"/>
    <w:rsid w:val="00D97917"/>
    <w:rsid w:val="00DA1FC0"/>
    <w:rsid w:val="00DB6887"/>
    <w:rsid w:val="00DB6A54"/>
    <w:rsid w:val="00DB7FC1"/>
    <w:rsid w:val="00DC01B2"/>
    <w:rsid w:val="00DC01DA"/>
    <w:rsid w:val="00DC0399"/>
    <w:rsid w:val="00DC041E"/>
    <w:rsid w:val="00DC25AE"/>
    <w:rsid w:val="00DC5545"/>
    <w:rsid w:val="00DE7438"/>
    <w:rsid w:val="00DF7DF7"/>
    <w:rsid w:val="00E16033"/>
    <w:rsid w:val="00E230A5"/>
    <w:rsid w:val="00E537D1"/>
    <w:rsid w:val="00E5616E"/>
    <w:rsid w:val="00E632E6"/>
    <w:rsid w:val="00E659C3"/>
    <w:rsid w:val="00E70A9E"/>
    <w:rsid w:val="00E74C39"/>
    <w:rsid w:val="00E803D4"/>
    <w:rsid w:val="00E83D71"/>
    <w:rsid w:val="00E860C9"/>
    <w:rsid w:val="00E90370"/>
    <w:rsid w:val="00E9354D"/>
    <w:rsid w:val="00E97CDE"/>
    <w:rsid w:val="00EA2EE7"/>
    <w:rsid w:val="00EE048B"/>
    <w:rsid w:val="00EE0BC1"/>
    <w:rsid w:val="00EF1380"/>
    <w:rsid w:val="00EF3596"/>
    <w:rsid w:val="00F06ABB"/>
    <w:rsid w:val="00F12FE1"/>
    <w:rsid w:val="00F24601"/>
    <w:rsid w:val="00F25E05"/>
    <w:rsid w:val="00F26EE0"/>
    <w:rsid w:val="00F41E7C"/>
    <w:rsid w:val="00F42B73"/>
    <w:rsid w:val="00F511AA"/>
    <w:rsid w:val="00F57771"/>
    <w:rsid w:val="00F679FE"/>
    <w:rsid w:val="00F7176A"/>
    <w:rsid w:val="00F72A9E"/>
    <w:rsid w:val="00F74EFA"/>
    <w:rsid w:val="00F74FCA"/>
    <w:rsid w:val="00F935FC"/>
    <w:rsid w:val="00FA1283"/>
    <w:rsid w:val="00FC0B58"/>
    <w:rsid w:val="00FC5027"/>
    <w:rsid w:val="00FD762A"/>
    <w:rsid w:val="00FE074E"/>
    <w:rsid w:val="00FE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97A65DF-D4BA-4593-AC80-0C7B6ACA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64E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0DE0"/>
  </w:style>
  <w:style w:type="paragraph" w:styleId="Fuzeile">
    <w:name w:val="footer"/>
    <w:basedOn w:val="Standard"/>
    <w:link w:val="FuzeileZchn"/>
    <w:uiPriority w:val="99"/>
    <w:unhideWhenUsed/>
    <w:rsid w:val="00BF0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0DE0"/>
  </w:style>
  <w:style w:type="paragraph" w:customStyle="1" w:styleId="AddressBlockBusinessUnit">
    <w:name w:val="Address Block: Business Unit"/>
    <w:basedOn w:val="Standard"/>
    <w:next w:val="Standard"/>
    <w:uiPriority w:val="99"/>
    <w:rsid w:val="00BF0DE0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Arial" w:eastAsia="Calibri" w:hAnsi="Arial" w:cs="Arial"/>
      <w:color w:val="000000"/>
      <w:kern w:val="20"/>
    </w:rPr>
  </w:style>
  <w:style w:type="character" w:styleId="Hyperlink">
    <w:name w:val="Hyperlink"/>
    <w:rsid w:val="00C96ECB"/>
    <w:rPr>
      <w:color w:val="0000FF"/>
      <w:u w:val="single"/>
    </w:rPr>
  </w:style>
  <w:style w:type="paragraph" w:customStyle="1" w:styleId="HONSAdressenblock">
    <w:name w:val="HONS Adressenblock"/>
    <w:basedOn w:val="Standard"/>
    <w:link w:val="HONSAdressenblockZchn"/>
    <w:uiPriority w:val="99"/>
    <w:rsid w:val="00C96ECB"/>
    <w:pPr>
      <w:tabs>
        <w:tab w:val="left" w:pos="3240"/>
        <w:tab w:val="left" w:pos="6120"/>
      </w:tabs>
      <w:spacing w:after="0" w:line="240" w:lineRule="auto"/>
      <w:ind w:right="-72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ONSAdressenblockZchn">
    <w:name w:val="HONS Adressenblock Zchn"/>
    <w:basedOn w:val="Absatz-Standardschriftart"/>
    <w:link w:val="HONSAdressenblock"/>
    <w:uiPriority w:val="99"/>
    <w:locked/>
    <w:rsid w:val="00C96EC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6EC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6EC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6ECB"/>
    <w:rPr>
      <w:rFonts w:ascii="Arial" w:eastAsia="Times New Roman" w:hAnsi="Arial" w:cs="Times New Roman"/>
      <w:sz w:val="20"/>
      <w:szCs w:val="20"/>
    </w:rPr>
  </w:style>
  <w:style w:type="paragraph" w:styleId="Listenabsatz">
    <w:name w:val="List Paragraph"/>
    <w:basedOn w:val="Standard"/>
    <w:uiPriority w:val="34"/>
    <w:qFormat/>
    <w:rsid w:val="00C96EC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6857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rsid w:val="00681937"/>
    <w:pPr>
      <w:spacing w:after="120" w:line="240" w:lineRule="auto"/>
      <w:ind w:left="283"/>
    </w:pPr>
    <w:rPr>
      <w:rFonts w:ascii="Times" w:eastAsia="Times" w:hAnsi="Times" w:cs="Times New Roman"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81937"/>
    <w:rPr>
      <w:rFonts w:ascii="Times" w:eastAsia="Times" w:hAnsi="Times" w:cs="Times New Roman"/>
      <w:sz w:val="24"/>
      <w:szCs w:val="20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4D3EE3"/>
    <w:pPr>
      <w:spacing w:after="0" w:line="240" w:lineRule="auto"/>
    </w:pPr>
    <w:rPr>
      <w:rFonts w:ascii="Calibri" w:eastAsia="Calibri" w:hAnsi="Calibri" w:cs="Times New Roman"/>
      <w:lang w:val="de-DE"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4D3EE3"/>
    <w:rPr>
      <w:rFonts w:ascii="Calibri" w:eastAsia="Calibri" w:hAnsi="Calibri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chim.meisehen@honeywell.com" TargetMode="External"/><Relationship Id="rId13" Type="http://schemas.openxmlformats.org/officeDocument/2006/relationships/hyperlink" Target="http://www.honeywell.com/newsro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neywell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ser-systems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C245-A301-45EB-A139-33658F63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Honeywell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Caruso</dc:creator>
  <cp:lastModifiedBy>Meisehen, Joachim</cp:lastModifiedBy>
  <cp:revision>14</cp:revision>
  <cp:lastPrinted>2016-04-25T10:02:00Z</cp:lastPrinted>
  <dcterms:created xsi:type="dcterms:W3CDTF">2016-08-19T07:59:00Z</dcterms:created>
  <dcterms:modified xsi:type="dcterms:W3CDTF">2016-08-19T10:05:00Z</dcterms:modified>
</cp:coreProperties>
</file>